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62" w:rsidRPr="00B80851" w:rsidRDefault="00F32C62" w:rsidP="00F32C62">
      <w:pPr>
        <w:pStyle w:val="Heading2"/>
        <w:shd w:val="clear" w:color="auto" w:fill="auto"/>
        <w:jc w:val="both"/>
        <w:rPr>
          <w:rFonts w:asciiTheme="minorHAnsi" w:hAnsiTheme="minorHAnsi" w:cs="Arial"/>
          <w:szCs w:val="32"/>
        </w:rPr>
      </w:pPr>
      <w:bookmarkStart w:id="0" w:name="_Toc414197030"/>
      <w:r w:rsidRPr="00B80851">
        <w:rPr>
          <w:rFonts w:asciiTheme="minorHAnsi" w:hAnsiTheme="minorHAnsi" w:cs="Arial"/>
          <w:szCs w:val="32"/>
        </w:rPr>
        <w:t>G1:  BOARD OF MANAGEMENT FUNCTIONS AND DUTIES</w:t>
      </w:r>
      <w:bookmarkEnd w:id="0"/>
    </w:p>
    <w:p w:rsidR="00F32C62" w:rsidRPr="006C7CFA" w:rsidRDefault="00F32C62" w:rsidP="00120564">
      <w:pPr>
        <w:spacing w:line="312" w:lineRule="auto"/>
        <w:outlineLvl w:val="0"/>
        <w:rPr>
          <w:rFonts w:cs="Arial"/>
          <w:b/>
        </w:rPr>
      </w:pPr>
    </w:p>
    <w:p w:rsidR="00F32C62" w:rsidRPr="00120564" w:rsidRDefault="00F32C62" w:rsidP="00120564">
      <w:pPr>
        <w:spacing w:line="312" w:lineRule="auto"/>
        <w:outlineLvl w:val="0"/>
        <w:rPr>
          <w:rFonts w:cs="Arial"/>
          <w:b/>
        </w:rPr>
      </w:pPr>
      <w:bookmarkStart w:id="1" w:name="_Toc273378632"/>
      <w:bookmarkStart w:id="2" w:name="_Toc278799607"/>
      <w:bookmarkStart w:id="3" w:name="_Toc315644927"/>
      <w:bookmarkStart w:id="4" w:name="_Toc315722214"/>
      <w:bookmarkStart w:id="5" w:name="_Toc316459434"/>
      <w:bookmarkStart w:id="6" w:name="_Toc327952082"/>
      <w:bookmarkStart w:id="7" w:name="_Toc350849285"/>
      <w:bookmarkStart w:id="8" w:name="_Toc388548677"/>
      <w:bookmarkStart w:id="9" w:name="_Toc398218599"/>
      <w:bookmarkStart w:id="10" w:name="_Toc414193692"/>
      <w:bookmarkStart w:id="11" w:name="_Toc414197031"/>
      <w:r w:rsidRPr="006C7CFA">
        <w:rPr>
          <w:rFonts w:cs="Arial"/>
          <w:b/>
        </w:rPr>
        <w:t>OBLIGATIONS AND DUTIES OF A BOARD MEMBER</w:t>
      </w:r>
      <w:bookmarkEnd w:id="1"/>
      <w:bookmarkEnd w:id="2"/>
      <w:bookmarkEnd w:id="3"/>
      <w:bookmarkEnd w:id="4"/>
      <w:bookmarkEnd w:id="5"/>
      <w:bookmarkEnd w:id="6"/>
      <w:bookmarkEnd w:id="7"/>
      <w:bookmarkEnd w:id="8"/>
      <w:bookmarkEnd w:id="9"/>
      <w:bookmarkEnd w:id="10"/>
      <w:bookmarkEnd w:id="11"/>
    </w:p>
    <w:p w:rsidR="00F32C62" w:rsidRPr="006C7CFA" w:rsidRDefault="00F32C62" w:rsidP="00120564">
      <w:pPr>
        <w:pBdr>
          <w:top w:val="single" w:sz="4" w:space="1" w:color="auto"/>
          <w:left w:val="single" w:sz="4" w:space="4" w:color="auto"/>
          <w:bottom w:val="single" w:sz="4" w:space="1" w:color="auto"/>
          <w:right w:val="single" w:sz="4" w:space="4" w:color="auto"/>
        </w:pBdr>
        <w:spacing w:line="312" w:lineRule="auto"/>
        <w:jc w:val="both"/>
        <w:rPr>
          <w:rFonts w:cs="Arial"/>
        </w:rPr>
      </w:pPr>
      <w:r w:rsidRPr="006C7CFA">
        <w:rPr>
          <w:rFonts w:cs="Arial"/>
        </w:rPr>
        <w:t xml:space="preserve">All Board members need to be made aware of their responsibilities and how </w:t>
      </w:r>
      <w:r>
        <w:rPr>
          <w:rFonts w:cs="Arial"/>
        </w:rPr>
        <w:t>Community Gateway</w:t>
      </w:r>
      <w:r w:rsidRPr="006C7CFA">
        <w:rPr>
          <w:rFonts w:cs="Arial"/>
        </w:rPr>
        <w:t xml:space="preserve"> will ensure they have the information to be able to meet them.  This outline of the obligations and duties of </w:t>
      </w:r>
      <w:r>
        <w:rPr>
          <w:rFonts w:cs="Arial"/>
        </w:rPr>
        <w:t>Community Gateway</w:t>
      </w:r>
      <w:r w:rsidRPr="006C7CFA">
        <w:rPr>
          <w:rFonts w:cs="Arial"/>
        </w:rPr>
        <w:t xml:space="preserve"> Board Members will assist in the process. </w:t>
      </w:r>
    </w:p>
    <w:p w:rsidR="00F32C62" w:rsidRPr="00120564" w:rsidRDefault="00F32C62" w:rsidP="00120564">
      <w:pPr>
        <w:spacing w:line="312" w:lineRule="auto"/>
        <w:jc w:val="both"/>
        <w:outlineLvl w:val="0"/>
        <w:rPr>
          <w:rFonts w:cs="Arial"/>
          <w:b/>
          <w:lang w:val="en-GB"/>
        </w:rPr>
      </w:pPr>
      <w:bookmarkStart w:id="12" w:name="_Toc273366058"/>
      <w:bookmarkStart w:id="13" w:name="_Toc273366839"/>
      <w:bookmarkStart w:id="14" w:name="_Toc273378633"/>
      <w:bookmarkStart w:id="15" w:name="_Toc278799608"/>
      <w:bookmarkStart w:id="16" w:name="_Toc315644928"/>
      <w:bookmarkStart w:id="17" w:name="_Toc315722215"/>
      <w:bookmarkStart w:id="18" w:name="_Toc316459435"/>
      <w:bookmarkStart w:id="19" w:name="_Toc327952083"/>
      <w:bookmarkStart w:id="20" w:name="_Toc350849286"/>
      <w:bookmarkStart w:id="21" w:name="_Toc388548678"/>
      <w:bookmarkStart w:id="22" w:name="_Toc398218600"/>
      <w:bookmarkStart w:id="23" w:name="_Toc414193693"/>
      <w:bookmarkStart w:id="24" w:name="_Toc414197032"/>
      <w:r w:rsidRPr="006C7CFA">
        <w:rPr>
          <w:rFonts w:cs="Arial"/>
          <w:b/>
          <w:lang w:val="en-GB"/>
        </w:rPr>
        <w:t>THE FUNCTIONS OR TASKS OF A BOARD</w:t>
      </w:r>
      <w:bookmarkEnd w:id="12"/>
      <w:bookmarkEnd w:id="13"/>
      <w:bookmarkEnd w:id="14"/>
      <w:bookmarkEnd w:id="15"/>
      <w:bookmarkEnd w:id="16"/>
      <w:bookmarkEnd w:id="17"/>
      <w:bookmarkEnd w:id="18"/>
      <w:bookmarkEnd w:id="19"/>
      <w:bookmarkEnd w:id="20"/>
      <w:bookmarkEnd w:id="21"/>
      <w:bookmarkEnd w:id="22"/>
      <w:bookmarkEnd w:id="23"/>
      <w:bookmarkEnd w:id="24"/>
      <w:r w:rsidRPr="006C7CFA">
        <w:rPr>
          <w:rFonts w:cs="Arial"/>
          <w:b/>
          <w:lang w:val="en-GB"/>
        </w:rPr>
        <w:t xml:space="preserve"> </w:t>
      </w:r>
    </w:p>
    <w:p w:rsidR="00F32C62" w:rsidRPr="00120564" w:rsidRDefault="00F32C62" w:rsidP="00F32C62">
      <w:pPr>
        <w:numPr>
          <w:ilvl w:val="1"/>
          <w:numId w:val="2"/>
        </w:numPr>
        <w:spacing w:after="0" w:line="312" w:lineRule="auto"/>
        <w:jc w:val="both"/>
        <w:rPr>
          <w:rFonts w:cs="Arial"/>
        </w:rPr>
      </w:pPr>
      <w:r w:rsidRPr="006C7CFA">
        <w:rPr>
          <w:rFonts w:cs="Arial"/>
        </w:rPr>
        <w:t xml:space="preserve">It is the expertise, “the professionalism” and the goodwill of the Board members and staff which will determine the outcomes of </w:t>
      </w:r>
      <w:r>
        <w:rPr>
          <w:rFonts w:cs="Arial"/>
        </w:rPr>
        <w:t>Community Gateway</w:t>
      </w:r>
      <w:r w:rsidRPr="006C7CFA">
        <w:rPr>
          <w:rFonts w:cs="Arial"/>
        </w:rPr>
        <w:t xml:space="preserve">. Nevertheless, the structures and “rules” under which the Board fulfils its governance role are critical, especially during a period of significant challenges and change. Clarity of the “rules” by which an organisation is governed is particularly relevant when seeking to minimise the risk to both the organisation and to its stakeholders. Transparency and accountability, as expressed in the legal structure, constitution and governance policies, are also very important when a not-for-profit organisation is seeking to raise its profile in the community. This is especially true when seeking potential donors, establishing support from the private sector and developing alliances and similar relationships with other not-for-profit organisations. </w:t>
      </w:r>
    </w:p>
    <w:p w:rsidR="00F32C62" w:rsidRPr="006C7CFA" w:rsidRDefault="00F32C62" w:rsidP="00F32C62">
      <w:pPr>
        <w:numPr>
          <w:ilvl w:val="1"/>
          <w:numId w:val="2"/>
        </w:numPr>
        <w:spacing w:after="0" w:line="312" w:lineRule="auto"/>
        <w:jc w:val="both"/>
        <w:rPr>
          <w:rFonts w:cs="Arial"/>
        </w:rPr>
      </w:pPr>
      <w:r w:rsidRPr="006C7CFA">
        <w:rPr>
          <w:rFonts w:cs="Arial"/>
        </w:rPr>
        <w:t>The Board of Management, with the advice of the Chief Executive Officer, should undertake the following.</w:t>
      </w:r>
    </w:p>
    <w:p w:rsidR="00F32C62" w:rsidRPr="006C7CFA" w:rsidRDefault="00F32C62" w:rsidP="00F32C62">
      <w:pPr>
        <w:numPr>
          <w:ilvl w:val="0"/>
          <w:numId w:val="8"/>
        </w:numPr>
        <w:spacing w:after="0" w:line="312" w:lineRule="auto"/>
        <w:jc w:val="both"/>
        <w:rPr>
          <w:rFonts w:cs="Arial"/>
        </w:rPr>
      </w:pPr>
      <w:r w:rsidRPr="006C7CFA">
        <w:rPr>
          <w:rFonts w:cs="Arial"/>
        </w:rPr>
        <w:t>Approve and monitor compliance with a Mission Statement that identifies the sense of purpose of the organisation and acts as a reference point for evaluating all its decisions and the outcome of these decisions.</w:t>
      </w:r>
    </w:p>
    <w:p w:rsidR="00F32C62" w:rsidRPr="006C7CFA" w:rsidRDefault="00F32C62" w:rsidP="00F32C62">
      <w:pPr>
        <w:numPr>
          <w:ilvl w:val="0"/>
          <w:numId w:val="8"/>
        </w:numPr>
        <w:spacing w:after="0" w:line="312" w:lineRule="auto"/>
        <w:jc w:val="both"/>
        <w:rPr>
          <w:rFonts w:cs="Arial"/>
        </w:rPr>
      </w:pPr>
      <w:r w:rsidRPr="006C7CFA">
        <w:rPr>
          <w:rFonts w:cs="Arial"/>
        </w:rPr>
        <w:t>Approve a Values Statement (or Statements) that identifies the principles of behaviour within which the Board and Staff will work.</w:t>
      </w:r>
    </w:p>
    <w:p w:rsidR="00F32C62" w:rsidRPr="006C7CFA" w:rsidRDefault="00F32C62" w:rsidP="00F32C62">
      <w:pPr>
        <w:numPr>
          <w:ilvl w:val="0"/>
          <w:numId w:val="8"/>
        </w:numPr>
        <w:spacing w:after="0" w:line="312" w:lineRule="auto"/>
        <w:jc w:val="both"/>
        <w:rPr>
          <w:rFonts w:cs="Arial"/>
        </w:rPr>
      </w:pPr>
      <w:r w:rsidRPr="006C7CFA">
        <w:rPr>
          <w:rFonts w:cs="Arial"/>
        </w:rPr>
        <w:t xml:space="preserve">Set a Vision Statement that will identify the intent of the Board for the general way forward – or how the </w:t>
      </w:r>
      <w:smartTag w:uri="urn:schemas-microsoft-com:office:smarttags" w:element="place">
        <w:smartTag w:uri="urn:schemas-microsoft-com:office:smarttags" w:element="City">
          <w:r w:rsidRPr="006C7CFA">
            <w:rPr>
              <w:rFonts w:cs="Arial"/>
            </w:rPr>
            <w:t>Mission</w:t>
          </w:r>
        </w:smartTag>
      </w:smartTag>
      <w:r w:rsidRPr="006C7CFA">
        <w:rPr>
          <w:rFonts w:cs="Arial"/>
        </w:rPr>
        <w:t xml:space="preserve"> will be advanced.</w:t>
      </w:r>
    </w:p>
    <w:p w:rsidR="00F32C62" w:rsidRPr="006C7CFA" w:rsidRDefault="00F32C62" w:rsidP="00F32C62">
      <w:pPr>
        <w:numPr>
          <w:ilvl w:val="0"/>
          <w:numId w:val="8"/>
        </w:numPr>
        <w:spacing w:after="0" w:line="312" w:lineRule="auto"/>
        <w:jc w:val="both"/>
        <w:rPr>
          <w:rFonts w:cs="Arial"/>
        </w:rPr>
      </w:pPr>
      <w:r w:rsidRPr="006C7CFA">
        <w:rPr>
          <w:rFonts w:cs="Arial"/>
        </w:rPr>
        <w:t>Establish clear rules which are termed policies for the management of the Board and how it will govern the organisation.</w:t>
      </w:r>
    </w:p>
    <w:p w:rsidR="00F32C62" w:rsidRPr="006C7CFA" w:rsidRDefault="00F32C62" w:rsidP="00F32C62">
      <w:pPr>
        <w:numPr>
          <w:ilvl w:val="0"/>
          <w:numId w:val="8"/>
        </w:numPr>
        <w:spacing w:after="0" w:line="312" w:lineRule="auto"/>
        <w:jc w:val="both"/>
        <w:rPr>
          <w:rFonts w:cs="Arial"/>
        </w:rPr>
      </w:pPr>
      <w:r w:rsidRPr="006C7CFA">
        <w:rPr>
          <w:rFonts w:cs="Arial"/>
        </w:rPr>
        <w:t>Set and monitor financial management policies and guidelines.</w:t>
      </w:r>
    </w:p>
    <w:p w:rsidR="00F32C62" w:rsidRPr="006C7CFA" w:rsidRDefault="00F32C62" w:rsidP="00F32C62">
      <w:pPr>
        <w:numPr>
          <w:ilvl w:val="0"/>
          <w:numId w:val="8"/>
        </w:numPr>
        <w:spacing w:after="0" w:line="312" w:lineRule="auto"/>
        <w:jc w:val="both"/>
        <w:rPr>
          <w:rFonts w:cs="Arial"/>
        </w:rPr>
      </w:pPr>
      <w:r w:rsidRPr="006C7CFA">
        <w:rPr>
          <w:rFonts w:cs="Arial"/>
        </w:rPr>
        <w:t xml:space="preserve">Set and monitor policies that govern the actions of staff in relation to </w:t>
      </w:r>
      <w:r>
        <w:rPr>
          <w:rFonts w:cs="Arial"/>
        </w:rPr>
        <w:t>client</w:t>
      </w:r>
      <w:r w:rsidRPr="006C7CFA">
        <w:rPr>
          <w:rFonts w:cs="Arial"/>
        </w:rPr>
        <w:t xml:space="preserve">s. </w:t>
      </w:r>
    </w:p>
    <w:p w:rsidR="00F32C62" w:rsidRPr="006C7CFA" w:rsidRDefault="00F32C62" w:rsidP="00F32C62">
      <w:pPr>
        <w:numPr>
          <w:ilvl w:val="0"/>
          <w:numId w:val="8"/>
        </w:numPr>
        <w:spacing w:after="0" w:line="312" w:lineRule="auto"/>
        <w:jc w:val="both"/>
        <w:rPr>
          <w:rFonts w:cs="Arial"/>
        </w:rPr>
      </w:pPr>
      <w:r w:rsidRPr="006C7CFA">
        <w:rPr>
          <w:rFonts w:cs="Arial"/>
        </w:rPr>
        <w:t>Set and monitor policies that govern how the staff members are managed.</w:t>
      </w:r>
    </w:p>
    <w:p w:rsidR="00F32C62" w:rsidRPr="006C7CFA" w:rsidRDefault="00F32C62" w:rsidP="00F32C62">
      <w:pPr>
        <w:numPr>
          <w:ilvl w:val="0"/>
          <w:numId w:val="8"/>
        </w:numPr>
        <w:spacing w:after="0" w:line="312" w:lineRule="auto"/>
        <w:jc w:val="both"/>
        <w:rPr>
          <w:rFonts w:cs="Arial"/>
        </w:rPr>
      </w:pPr>
      <w:r w:rsidRPr="006C7CFA">
        <w:rPr>
          <w:rFonts w:cs="Arial"/>
        </w:rPr>
        <w:t xml:space="preserve">Set, monitor and work within a Strategic Plan that establishes clear goals for the service that can be monitored by the Board on a regular basis. </w:t>
      </w:r>
    </w:p>
    <w:p w:rsidR="00F32C62" w:rsidRPr="006C7CFA" w:rsidRDefault="00F32C62" w:rsidP="00F32C62">
      <w:pPr>
        <w:numPr>
          <w:ilvl w:val="0"/>
          <w:numId w:val="8"/>
        </w:numPr>
        <w:spacing w:after="0" w:line="312" w:lineRule="auto"/>
        <w:jc w:val="both"/>
        <w:rPr>
          <w:rFonts w:cs="Arial"/>
        </w:rPr>
      </w:pPr>
      <w:r w:rsidRPr="006C7CFA">
        <w:rPr>
          <w:rFonts w:cs="Arial"/>
        </w:rPr>
        <w:t xml:space="preserve">Ensure </w:t>
      </w:r>
      <w:r>
        <w:rPr>
          <w:rFonts w:cs="Arial"/>
        </w:rPr>
        <w:t>Community Gateway</w:t>
      </w:r>
      <w:r w:rsidRPr="006C7CFA">
        <w:rPr>
          <w:rFonts w:cs="Arial"/>
        </w:rPr>
        <w:t xml:space="preserve"> meets its legal and other compliance issues so the future of the organisation is secure through effective governance. </w:t>
      </w:r>
    </w:p>
    <w:p w:rsidR="00F32C62" w:rsidRPr="00120564" w:rsidRDefault="00F32C62" w:rsidP="00F32C62">
      <w:pPr>
        <w:numPr>
          <w:ilvl w:val="0"/>
          <w:numId w:val="8"/>
        </w:numPr>
        <w:spacing w:after="0" w:line="312" w:lineRule="auto"/>
        <w:jc w:val="both"/>
        <w:rPr>
          <w:rFonts w:cs="Arial"/>
        </w:rPr>
      </w:pPr>
      <w:r w:rsidRPr="006C7CFA">
        <w:rPr>
          <w:rFonts w:cs="Arial"/>
        </w:rPr>
        <w:t>Ensure the conditions are present for the sustainability of the Mission and the flame is kept burning.</w:t>
      </w:r>
    </w:p>
    <w:p w:rsidR="00F32C62" w:rsidRPr="00B80851" w:rsidRDefault="00F32C62" w:rsidP="00F32C62">
      <w:pPr>
        <w:numPr>
          <w:ilvl w:val="1"/>
          <w:numId w:val="2"/>
        </w:numPr>
        <w:spacing w:after="0" w:line="312" w:lineRule="auto"/>
        <w:jc w:val="both"/>
        <w:rPr>
          <w:rFonts w:cs="Arial"/>
        </w:rPr>
      </w:pPr>
      <w:r w:rsidRPr="006C7CFA">
        <w:rPr>
          <w:rFonts w:cs="Arial"/>
        </w:rPr>
        <w:lastRenderedPageBreak/>
        <w:t>The critical actions to achieve the objectives of the Board include the following:</w:t>
      </w:r>
    </w:p>
    <w:p w:rsidR="00F32C62" w:rsidRPr="006C7CFA" w:rsidRDefault="00F32C62" w:rsidP="00F32C62">
      <w:pPr>
        <w:spacing w:line="312" w:lineRule="auto"/>
        <w:ind w:firstLine="567"/>
        <w:jc w:val="both"/>
        <w:outlineLvl w:val="0"/>
        <w:rPr>
          <w:rFonts w:cs="Arial"/>
          <w:b/>
        </w:rPr>
      </w:pPr>
      <w:bookmarkStart w:id="25" w:name="_Toc273366059"/>
      <w:bookmarkStart w:id="26" w:name="_Toc273366840"/>
      <w:bookmarkStart w:id="27" w:name="_Toc273378634"/>
      <w:bookmarkStart w:id="28" w:name="_Toc278799609"/>
      <w:bookmarkStart w:id="29" w:name="_Toc315644929"/>
      <w:bookmarkStart w:id="30" w:name="_Toc315722216"/>
      <w:bookmarkStart w:id="31" w:name="_Toc316459436"/>
      <w:bookmarkStart w:id="32" w:name="_Toc327952084"/>
      <w:bookmarkStart w:id="33" w:name="_Toc350849287"/>
      <w:bookmarkStart w:id="34" w:name="_Toc388548679"/>
      <w:bookmarkStart w:id="35" w:name="_Toc398218601"/>
      <w:bookmarkStart w:id="36" w:name="_Toc414193694"/>
      <w:bookmarkStart w:id="37" w:name="_Toc414197033"/>
      <w:r w:rsidRPr="006C7CFA">
        <w:rPr>
          <w:rFonts w:cs="Arial"/>
          <w:b/>
        </w:rPr>
        <w:t>BOARD DUTY STATEMENT</w:t>
      </w:r>
      <w:bookmarkEnd w:id="25"/>
      <w:bookmarkEnd w:id="26"/>
      <w:bookmarkEnd w:id="27"/>
      <w:bookmarkEnd w:id="28"/>
      <w:bookmarkEnd w:id="29"/>
      <w:bookmarkEnd w:id="30"/>
      <w:bookmarkEnd w:id="31"/>
      <w:bookmarkEnd w:id="32"/>
      <w:bookmarkEnd w:id="33"/>
      <w:bookmarkEnd w:id="34"/>
      <w:bookmarkEnd w:id="35"/>
      <w:bookmarkEnd w:id="36"/>
      <w:bookmarkEnd w:id="37"/>
      <w:r w:rsidRPr="006C7CFA">
        <w:rPr>
          <w:rFonts w:cs="Arial"/>
          <w:b/>
        </w:rPr>
        <w:t xml:space="preserve"> </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Determine the duties, appoint, monitor and review the Chief Executive Officer.</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 xml:space="preserve">Identify and agree to appropriate delegations of Board responsibility and duties to the Chief Executive Officer, </w:t>
      </w:r>
      <w:r w:rsidRPr="006C7CFA">
        <w:rPr>
          <w:rFonts w:cs="Arial"/>
          <w:b/>
        </w:rPr>
        <w:t>but not its accountability</w:t>
      </w:r>
      <w:r w:rsidRPr="006C7CFA">
        <w:rPr>
          <w:rFonts w:cs="Arial"/>
        </w:rPr>
        <w:t>.</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Approve appropriate governance policies to manage the Board.</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 xml:space="preserve">Approve policies for staff and </w:t>
      </w:r>
      <w:r>
        <w:rPr>
          <w:rFonts w:cs="Arial"/>
        </w:rPr>
        <w:t>Community Gateway</w:t>
      </w:r>
      <w:r w:rsidRPr="006C7CFA">
        <w:rPr>
          <w:rFonts w:cs="Arial"/>
        </w:rPr>
        <w:t xml:space="preserve">’s dealings with </w:t>
      </w:r>
      <w:r>
        <w:rPr>
          <w:rFonts w:cs="Arial"/>
        </w:rPr>
        <w:t>client</w:t>
      </w:r>
      <w:r w:rsidRPr="006C7CFA">
        <w:rPr>
          <w:rFonts w:cs="Arial"/>
        </w:rPr>
        <w:t>s.</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 xml:space="preserve">Meet monthly to review the progress of </w:t>
      </w:r>
      <w:r>
        <w:rPr>
          <w:rFonts w:cs="Arial"/>
        </w:rPr>
        <w:t>Community Gateway</w:t>
      </w:r>
      <w:r w:rsidRPr="006C7CFA">
        <w:rPr>
          <w:rFonts w:cs="Arial"/>
        </w:rPr>
        <w:t xml:space="preserve"> based on the report of the Chief Executive Officer and additional information as required by the members.</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Establish a strategic plan once every three years, monitor progress against the plan every quarter and update the goals of the plan yearly.</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Agree to and monitor the progress of the yearly budget – finance plan.</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Agree to and monitor the yearly Business Plan.</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 xml:space="preserve">Ensure there are appropriate checks and balances in the system of management to prevent illegality or a failure to comply with the directions and policies of the Board, including an audit and reporting system. </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 xml:space="preserve">Identify and manage risks, including the failure to meet legal compliance requirements. </w:t>
      </w:r>
    </w:p>
    <w:p w:rsidR="00F32C62" w:rsidRPr="006C7CFA" w:rsidRDefault="00F32C62" w:rsidP="00F32C62">
      <w:pPr>
        <w:numPr>
          <w:ilvl w:val="0"/>
          <w:numId w:val="6"/>
        </w:numPr>
        <w:pBdr>
          <w:top w:val="single" w:sz="4" w:space="1" w:color="auto"/>
          <w:left w:val="single" w:sz="4" w:space="4" w:color="auto"/>
          <w:bottom w:val="single" w:sz="4" w:space="1" w:color="auto"/>
          <w:right w:val="single" w:sz="4" w:space="4" w:color="auto"/>
        </w:pBdr>
        <w:spacing w:after="0" w:line="312" w:lineRule="auto"/>
        <w:jc w:val="both"/>
        <w:rPr>
          <w:rFonts w:cs="Arial"/>
        </w:rPr>
      </w:pPr>
      <w:r w:rsidRPr="006C7CFA">
        <w:rPr>
          <w:rFonts w:cs="Arial"/>
        </w:rPr>
        <w:t>Identify the Board’s role and maintain and follow it.</w:t>
      </w:r>
    </w:p>
    <w:p w:rsidR="00F32C62" w:rsidRPr="006C7CFA" w:rsidRDefault="00F32C62" w:rsidP="00F32C62">
      <w:pPr>
        <w:pStyle w:val="Header"/>
        <w:tabs>
          <w:tab w:val="left" w:pos="720"/>
        </w:tabs>
        <w:spacing w:line="312" w:lineRule="auto"/>
        <w:jc w:val="both"/>
        <w:outlineLvl w:val="0"/>
        <w:rPr>
          <w:rFonts w:asciiTheme="minorHAnsi" w:hAnsiTheme="minorHAnsi" w:cs="Arial"/>
          <w:b/>
          <w:sz w:val="24"/>
        </w:rPr>
      </w:pPr>
    </w:p>
    <w:p w:rsidR="00F32C62" w:rsidRPr="006C7CFA" w:rsidRDefault="00F32C62" w:rsidP="00F32C62">
      <w:pPr>
        <w:pStyle w:val="Header"/>
        <w:tabs>
          <w:tab w:val="left" w:pos="720"/>
        </w:tabs>
        <w:spacing w:line="312" w:lineRule="auto"/>
        <w:jc w:val="both"/>
        <w:outlineLvl w:val="0"/>
        <w:rPr>
          <w:rFonts w:asciiTheme="minorHAnsi" w:hAnsiTheme="minorHAnsi" w:cs="Arial"/>
          <w:b/>
          <w:sz w:val="24"/>
        </w:rPr>
      </w:pPr>
      <w:bookmarkStart w:id="38" w:name="_Toc273366060"/>
      <w:bookmarkStart w:id="39" w:name="_Toc273366841"/>
      <w:bookmarkStart w:id="40" w:name="_Toc273378635"/>
      <w:bookmarkStart w:id="41" w:name="_Toc278799610"/>
      <w:bookmarkStart w:id="42" w:name="_Toc315644930"/>
      <w:bookmarkStart w:id="43" w:name="_Toc315722217"/>
      <w:bookmarkStart w:id="44" w:name="_Toc316459437"/>
      <w:bookmarkStart w:id="45" w:name="_Toc327952085"/>
      <w:bookmarkStart w:id="46" w:name="_Toc350849288"/>
      <w:bookmarkStart w:id="47" w:name="_Toc388548680"/>
      <w:bookmarkStart w:id="48" w:name="_Toc398218602"/>
      <w:bookmarkStart w:id="49" w:name="_Toc414193695"/>
      <w:bookmarkStart w:id="50" w:name="_Toc414197034"/>
      <w:r w:rsidRPr="006C7CFA">
        <w:rPr>
          <w:rFonts w:asciiTheme="minorHAnsi" w:hAnsiTheme="minorHAnsi" w:cs="Arial"/>
          <w:b/>
          <w:sz w:val="24"/>
        </w:rPr>
        <w:t xml:space="preserve">THE DUTIES OF A </w:t>
      </w:r>
      <w:r>
        <w:rPr>
          <w:rFonts w:asciiTheme="minorHAnsi" w:hAnsiTheme="minorHAnsi" w:cs="Arial"/>
          <w:b/>
          <w:sz w:val="24"/>
        </w:rPr>
        <w:t>COMMUNITY GATEWAY</w:t>
      </w:r>
      <w:r w:rsidRPr="006C7CFA">
        <w:rPr>
          <w:rFonts w:asciiTheme="minorHAnsi" w:hAnsiTheme="minorHAnsi" w:cs="Arial"/>
          <w:b/>
          <w:sz w:val="24"/>
        </w:rPr>
        <w:t xml:space="preserve"> INC. BOARD MEMBER</w:t>
      </w:r>
      <w:bookmarkEnd w:id="38"/>
      <w:bookmarkEnd w:id="39"/>
      <w:bookmarkEnd w:id="40"/>
      <w:bookmarkEnd w:id="41"/>
      <w:bookmarkEnd w:id="42"/>
      <w:bookmarkEnd w:id="43"/>
      <w:bookmarkEnd w:id="44"/>
      <w:bookmarkEnd w:id="45"/>
      <w:bookmarkEnd w:id="46"/>
      <w:bookmarkEnd w:id="47"/>
      <w:bookmarkEnd w:id="48"/>
      <w:bookmarkEnd w:id="49"/>
      <w:bookmarkEnd w:id="50"/>
    </w:p>
    <w:p w:rsidR="00F32C62" w:rsidRPr="006C7CFA" w:rsidRDefault="00F32C62" w:rsidP="00F32C62">
      <w:pPr>
        <w:pBdr>
          <w:top w:val="single" w:sz="4" w:space="1" w:color="auto"/>
          <w:left w:val="single" w:sz="4" w:space="4" w:color="auto"/>
          <w:right w:val="single" w:sz="4" w:space="4" w:color="auto"/>
        </w:pBdr>
        <w:spacing w:line="312" w:lineRule="auto"/>
        <w:jc w:val="center"/>
        <w:outlineLvl w:val="0"/>
        <w:rPr>
          <w:rFonts w:cs="Arial"/>
          <w:b/>
          <w:bCs/>
          <w:lang w:val="en-US"/>
        </w:rPr>
      </w:pPr>
    </w:p>
    <w:p w:rsidR="00F32C62" w:rsidRPr="006C7CFA" w:rsidRDefault="00F32C62" w:rsidP="00120564">
      <w:pPr>
        <w:pBdr>
          <w:top w:val="single" w:sz="4" w:space="1" w:color="auto"/>
          <w:left w:val="single" w:sz="4" w:space="4" w:color="auto"/>
          <w:right w:val="single" w:sz="4" w:space="4" w:color="auto"/>
        </w:pBdr>
        <w:spacing w:line="312" w:lineRule="auto"/>
        <w:jc w:val="center"/>
        <w:outlineLvl w:val="0"/>
        <w:rPr>
          <w:rFonts w:cs="Arial"/>
          <w:b/>
          <w:bCs/>
          <w:lang w:val="en-US"/>
        </w:rPr>
      </w:pPr>
      <w:bookmarkStart w:id="51" w:name="_Toc273366061"/>
      <w:bookmarkStart w:id="52" w:name="_Toc273366842"/>
      <w:bookmarkStart w:id="53" w:name="_Toc273378636"/>
      <w:bookmarkStart w:id="54" w:name="_Toc278799611"/>
      <w:bookmarkStart w:id="55" w:name="_Toc315644931"/>
      <w:bookmarkStart w:id="56" w:name="_Toc315722218"/>
      <w:bookmarkStart w:id="57" w:name="_Toc316459438"/>
      <w:bookmarkStart w:id="58" w:name="_Toc327952086"/>
      <w:bookmarkStart w:id="59" w:name="_Toc350849289"/>
      <w:bookmarkStart w:id="60" w:name="_Toc388548681"/>
      <w:bookmarkStart w:id="61" w:name="_Toc398218603"/>
      <w:bookmarkStart w:id="62" w:name="_Toc414193696"/>
      <w:bookmarkStart w:id="63" w:name="_Toc414197035"/>
      <w:r w:rsidRPr="006C7CFA">
        <w:rPr>
          <w:rFonts w:cs="Arial"/>
          <w:b/>
          <w:bCs/>
          <w:lang w:val="en-US"/>
        </w:rPr>
        <w:t>Board Members’ Statement of Duties</w:t>
      </w:r>
      <w:bookmarkEnd w:id="51"/>
      <w:bookmarkEnd w:id="52"/>
      <w:bookmarkEnd w:id="53"/>
      <w:bookmarkEnd w:id="54"/>
      <w:bookmarkEnd w:id="55"/>
      <w:bookmarkEnd w:id="56"/>
      <w:bookmarkEnd w:id="57"/>
      <w:bookmarkEnd w:id="58"/>
      <w:bookmarkEnd w:id="59"/>
      <w:bookmarkEnd w:id="60"/>
      <w:bookmarkEnd w:id="61"/>
      <w:bookmarkEnd w:id="62"/>
      <w:bookmarkEnd w:id="63"/>
    </w:p>
    <w:p w:rsidR="00F32C62" w:rsidRPr="006C7CFA" w:rsidRDefault="00F32C62" w:rsidP="00F32C62">
      <w:pPr>
        <w:widowControl w:val="0"/>
        <w:pBdr>
          <w:top w:val="single" w:sz="4" w:space="1" w:color="auto"/>
          <w:left w:val="single" w:sz="4" w:space="4" w:color="auto"/>
          <w:right w:val="single" w:sz="4" w:space="4" w:color="auto"/>
        </w:pBdr>
        <w:autoSpaceDE w:val="0"/>
        <w:autoSpaceDN w:val="0"/>
        <w:adjustRightInd w:val="0"/>
        <w:spacing w:line="312" w:lineRule="auto"/>
        <w:jc w:val="both"/>
        <w:rPr>
          <w:rFonts w:cs="Arial"/>
          <w:bCs/>
          <w:lang w:val="en-US"/>
        </w:rPr>
      </w:pPr>
      <w:r w:rsidRPr="006C7CFA">
        <w:rPr>
          <w:rFonts w:cs="Arial"/>
          <w:bCs/>
          <w:lang w:val="en-US"/>
        </w:rPr>
        <w:t xml:space="preserve">Scope: To provide input into Board discussion about finance, </w:t>
      </w:r>
      <w:r>
        <w:rPr>
          <w:rFonts w:cs="Arial"/>
          <w:bCs/>
          <w:lang w:val="en-US"/>
        </w:rPr>
        <w:t>client</w:t>
      </w:r>
      <w:r w:rsidRPr="006C7CFA">
        <w:rPr>
          <w:rFonts w:cs="Arial"/>
          <w:bCs/>
          <w:lang w:val="en-US"/>
        </w:rPr>
        <w:t xml:space="preserve"> and other </w:t>
      </w:r>
      <w:proofErr w:type="spellStart"/>
      <w:r w:rsidRPr="006C7CFA">
        <w:rPr>
          <w:rFonts w:cs="Arial"/>
          <w:bCs/>
          <w:lang w:val="en-US"/>
        </w:rPr>
        <w:t>organisational</w:t>
      </w:r>
      <w:proofErr w:type="spellEnd"/>
      <w:r w:rsidRPr="006C7CFA">
        <w:rPr>
          <w:rFonts w:cs="Arial"/>
          <w:bCs/>
          <w:lang w:val="en-US"/>
        </w:rPr>
        <w:t xml:space="preserve"> activities and to make independent decisions about Board motions in the best interests of those affected by the decisions. </w:t>
      </w:r>
    </w:p>
    <w:p w:rsidR="00F32C62" w:rsidRPr="006C7CFA" w:rsidRDefault="00F32C62" w:rsidP="00F32C62">
      <w:pPr>
        <w:widowControl w:val="0"/>
        <w:numPr>
          <w:ilvl w:val="0"/>
          <w:numId w:val="3"/>
        </w:numPr>
        <w:pBdr>
          <w:top w:val="single" w:sz="4" w:space="1" w:color="auto"/>
          <w:left w:val="single" w:sz="4" w:space="4" w:color="auto"/>
          <w:right w:val="single" w:sz="4" w:space="4" w:color="auto"/>
        </w:pBdr>
        <w:autoSpaceDE w:val="0"/>
        <w:autoSpaceDN w:val="0"/>
        <w:adjustRightInd w:val="0"/>
        <w:spacing w:after="0" w:line="312" w:lineRule="auto"/>
        <w:jc w:val="both"/>
        <w:rPr>
          <w:rFonts w:cs="Arial"/>
          <w:bCs/>
          <w:lang w:val="en-US"/>
        </w:rPr>
      </w:pPr>
      <w:r w:rsidRPr="006C7CFA">
        <w:rPr>
          <w:rFonts w:cs="Arial"/>
          <w:bCs/>
          <w:lang w:val="en-US"/>
        </w:rPr>
        <w:t>Attend the monthly Board meetings and additional meetings as mutually agreed.</w:t>
      </w:r>
    </w:p>
    <w:p w:rsidR="00F32C62" w:rsidRPr="006C7CFA" w:rsidRDefault="00F32C62" w:rsidP="00F32C62">
      <w:pPr>
        <w:widowControl w:val="0"/>
        <w:numPr>
          <w:ilvl w:val="0"/>
          <w:numId w:val="3"/>
        </w:numPr>
        <w:pBdr>
          <w:top w:val="single" w:sz="4" w:space="1" w:color="auto"/>
          <w:left w:val="single" w:sz="4" w:space="4" w:color="auto"/>
          <w:right w:val="single" w:sz="4" w:space="4" w:color="auto"/>
        </w:pBdr>
        <w:autoSpaceDE w:val="0"/>
        <w:autoSpaceDN w:val="0"/>
        <w:adjustRightInd w:val="0"/>
        <w:spacing w:after="0" w:line="312" w:lineRule="auto"/>
        <w:jc w:val="both"/>
        <w:rPr>
          <w:rFonts w:cs="Arial"/>
          <w:bCs/>
          <w:lang w:val="en-US"/>
        </w:rPr>
      </w:pPr>
      <w:r w:rsidRPr="006C7CFA">
        <w:rPr>
          <w:rFonts w:cs="Arial"/>
          <w:bCs/>
          <w:lang w:val="en-US"/>
        </w:rPr>
        <w:t xml:space="preserve">Assist in setting the direction and monitoring the outcomes of </w:t>
      </w:r>
      <w:r>
        <w:rPr>
          <w:rFonts w:cs="Arial"/>
          <w:bCs/>
          <w:lang w:val="en-US"/>
        </w:rPr>
        <w:t>Community Gateway</w:t>
      </w:r>
      <w:r w:rsidRPr="006C7CFA">
        <w:rPr>
          <w:rFonts w:cs="Arial"/>
          <w:bCs/>
          <w:lang w:val="en-US"/>
        </w:rPr>
        <w:t>.</w:t>
      </w:r>
    </w:p>
    <w:p w:rsidR="00F32C62" w:rsidRPr="006C7CFA" w:rsidRDefault="00F32C62" w:rsidP="00F32C62">
      <w:pPr>
        <w:widowControl w:val="0"/>
        <w:numPr>
          <w:ilvl w:val="0"/>
          <w:numId w:val="3"/>
        </w:numPr>
        <w:pBdr>
          <w:top w:val="single" w:sz="4" w:space="1" w:color="auto"/>
          <w:left w:val="single" w:sz="4" w:space="4" w:color="auto"/>
          <w:right w:val="single" w:sz="4" w:space="4" w:color="auto"/>
        </w:pBdr>
        <w:autoSpaceDE w:val="0"/>
        <w:autoSpaceDN w:val="0"/>
        <w:adjustRightInd w:val="0"/>
        <w:spacing w:after="0" w:line="312" w:lineRule="auto"/>
        <w:jc w:val="both"/>
        <w:rPr>
          <w:rFonts w:cs="Arial"/>
          <w:bCs/>
          <w:lang w:val="en-US"/>
        </w:rPr>
      </w:pPr>
      <w:r w:rsidRPr="006C7CFA">
        <w:rPr>
          <w:rFonts w:cs="Arial"/>
          <w:bCs/>
          <w:lang w:val="en-US"/>
        </w:rPr>
        <w:t>Keep up to date with Board papers and information provided.</w:t>
      </w:r>
    </w:p>
    <w:p w:rsidR="00F32C62" w:rsidRPr="006C7CFA" w:rsidRDefault="00F32C62" w:rsidP="00F32C62">
      <w:pPr>
        <w:widowControl w:val="0"/>
        <w:numPr>
          <w:ilvl w:val="0"/>
          <w:numId w:val="3"/>
        </w:numPr>
        <w:pBdr>
          <w:top w:val="single" w:sz="4" w:space="1" w:color="auto"/>
          <w:left w:val="single" w:sz="4" w:space="4" w:color="auto"/>
          <w:right w:val="single" w:sz="4" w:space="4" w:color="auto"/>
        </w:pBdr>
        <w:autoSpaceDE w:val="0"/>
        <w:autoSpaceDN w:val="0"/>
        <w:adjustRightInd w:val="0"/>
        <w:spacing w:after="0" w:line="312" w:lineRule="auto"/>
        <w:jc w:val="both"/>
        <w:rPr>
          <w:rFonts w:cs="Arial"/>
          <w:bCs/>
          <w:lang w:val="en-US"/>
        </w:rPr>
      </w:pPr>
      <w:r w:rsidRPr="006C7CFA">
        <w:rPr>
          <w:rFonts w:cs="Arial"/>
          <w:bCs/>
          <w:lang w:val="en-US"/>
        </w:rPr>
        <w:t>Agree to and follow the Constitution, Board Governance rules and Board protocols.</w:t>
      </w:r>
    </w:p>
    <w:p w:rsidR="00F32C62" w:rsidRPr="006C7CFA" w:rsidRDefault="00F32C62" w:rsidP="00F32C62">
      <w:pPr>
        <w:numPr>
          <w:ilvl w:val="0"/>
          <w:numId w:val="3"/>
        </w:numPr>
        <w:pBdr>
          <w:left w:val="single" w:sz="4" w:space="4" w:color="auto"/>
          <w:bottom w:val="single" w:sz="4" w:space="1" w:color="auto"/>
          <w:right w:val="single" w:sz="4" w:space="4" w:color="auto"/>
        </w:pBdr>
        <w:spacing w:after="0" w:line="312" w:lineRule="auto"/>
        <w:jc w:val="both"/>
        <w:rPr>
          <w:rFonts w:cs="Arial"/>
        </w:rPr>
      </w:pPr>
      <w:r w:rsidRPr="006C7CFA">
        <w:rPr>
          <w:rFonts w:cs="Arial"/>
        </w:rPr>
        <w:t>Declare any conflict of interest before any relevant matters are put before Board members.</w:t>
      </w:r>
    </w:p>
    <w:p w:rsidR="00F32C62" w:rsidRPr="006C7CFA" w:rsidRDefault="00F32C62" w:rsidP="00F32C62">
      <w:pPr>
        <w:numPr>
          <w:ilvl w:val="0"/>
          <w:numId w:val="3"/>
        </w:numPr>
        <w:pBdr>
          <w:left w:val="single" w:sz="4" w:space="4" w:color="auto"/>
          <w:bottom w:val="single" w:sz="4" w:space="1" w:color="auto"/>
          <w:right w:val="single" w:sz="4" w:space="4" w:color="auto"/>
        </w:pBdr>
        <w:spacing w:after="0" w:line="312" w:lineRule="auto"/>
        <w:jc w:val="both"/>
        <w:rPr>
          <w:rFonts w:cs="Arial"/>
        </w:rPr>
      </w:pPr>
      <w:r w:rsidRPr="006C7CFA">
        <w:rPr>
          <w:rFonts w:cs="Arial"/>
        </w:rPr>
        <w:t>Adhere to the policies and procedures of the organisation.</w:t>
      </w:r>
    </w:p>
    <w:p w:rsidR="00F32C62" w:rsidRPr="006C7CFA" w:rsidRDefault="00F32C62" w:rsidP="00F32C62">
      <w:pPr>
        <w:numPr>
          <w:ilvl w:val="0"/>
          <w:numId w:val="3"/>
        </w:numPr>
        <w:pBdr>
          <w:left w:val="single" w:sz="4" w:space="4" w:color="auto"/>
          <w:bottom w:val="single" w:sz="4" w:space="1" w:color="auto"/>
          <w:right w:val="single" w:sz="4" w:space="4" w:color="auto"/>
        </w:pBdr>
        <w:spacing w:after="0" w:line="312" w:lineRule="auto"/>
        <w:jc w:val="both"/>
        <w:rPr>
          <w:rFonts w:cs="Arial"/>
        </w:rPr>
      </w:pPr>
      <w:r w:rsidRPr="006C7CFA">
        <w:rPr>
          <w:rFonts w:cs="Arial"/>
        </w:rPr>
        <w:t xml:space="preserve">The duties of a </w:t>
      </w:r>
      <w:r>
        <w:rPr>
          <w:rFonts w:cs="Arial"/>
        </w:rPr>
        <w:t>Community Gateway</w:t>
      </w:r>
      <w:r w:rsidRPr="006C7CFA">
        <w:rPr>
          <w:rFonts w:cs="Arial"/>
        </w:rPr>
        <w:t xml:space="preserve"> Board Member must be exercised with a duty of care and in good faith in the interests of all stakeholders.</w:t>
      </w:r>
    </w:p>
    <w:p w:rsidR="00F32C62" w:rsidRDefault="00F32C62" w:rsidP="00F32C62">
      <w:pPr>
        <w:spacing w:line="312" w:lineRule="auto"/>
        <w:jc w:val="both"/>
        <w:rPr>
          <w:rFonts w:cs="Arial"/>
        </w:rPr>
      </w:pPr>
    </w:p>
    <w:p w:rsidR="00120564" w:rsidRPr="006C7CFA" w:rsidRDefault="00120564" w:rsidP="00F32C62">
      <w:pPr>
        <w:spacing w:line="312" w:lineRule="auto"/>
        <w:jc w:val="both"/>
        <w:rPr>
          <w:rFonts w:cs="Arial"/>
        </w:rPr>
      </w:pPr>
      <w:bookmarkStart w:id="64" w:name="_GoBack"/>
      <w:bookmarkEnd w:id="64"/>
    </w:p>
    <w:p w:rsidR="00F32C62" w:rsidRPr="00120564" w:rsidRDefault="00F32C62" w:rsidP="00F32C62">
      <w:pPr>
        <w:numPr>
          <w:ilvl w:val="1"/>
          <w:numId w:val="2"/>
        </w:numPr>
        <w:spacing w:after="0" w:line="312" w:lineRule="auto"/>
        <w:jc w:val="both"/>
        <w:rPr>
          <w:rFonts w:cs="Arial"/>
        </w:rPr>
      </w:pPr>
      <w:r w:rsidRPr="006C7CFA">
        <w:rPr>
          <w:rFonts w:cs="Arial"/>
        </w:rPr>
        <w:lastRenderedPageBreak/>
        <w:t>In addition, there should be statements of duties for the Board Chairperson, Vice Chairperson, Secretary and Treasurer.</w:t>
      </w:r>
    </w:p>
    <w:p w:rsidR="00F32C62" w:rsidRPr="006C7CFA" w:rsidRDefault="00F32C62" w:rsidP="00F32C62">
      <w:pPr>
        <w:pBdr>
          <w:top w:val="single" w:sz="4" w:space="1" w:color="auto"/>
          <w:left w:val="single" w:sz="4" w:space="4" w:color="auto"/>
          <w:bottom w:val="single" w:sz="4" w:space="1" w:color="auto"/>
          <w:right w:val="single" w:sz="4" w:space="4" w:color="auto"/>
        </w:pBdr>
        <w:spacing w:line="312" w:lineRule="auto"/>
        <w:jc w:val="center"/>
        <w:outlineLvl w:val="0"/>
        <w:rPr>
          <w:rFonts w:cs="Arial"/>
          <w:b/>
        </w:rPr>
      </w:pPr>
    </w:p>
    <w:p w:rsidR="00F32C62" w:rsidRPr="006C7CFA" w:rsidRDefault="00F32C62" w:rsidP="00120564">
      <w:pPr>
        <w:pBdr>
          <w:top w:val="single" w:sz="4" w:space="1" w:color="auto"/>
          <w:left w:val="single" w:sz="4" w:space="4" w:color="auto"/>
          <w:bottom w:val="single" w:sz="4" w:space="1" w:color="auto"/>
          <w:right w:val="single" w:sz="4" w:space="4" w:color="auto"/>
        </w:pBdr>
        <w:spacing w:line="312" w:lineRule="auto"/>
        <w:jc w:val="center"/>
        <w:outlineLvl w:val="0"/>
        <w:rPr>
          <w:rFonts w:cs="Arial"/>
          <w:b/>
        </w:rPr>
      </w:pPr>
      <w:bookmarkStart w:id="65" w:name="_Toc273366062"/>
      <w:bookmarkStart w:id="66" w:name="_Toc273366843"/>
      <w:bookmarkStart w:id="67" w:name="_Toc273378637"/>
      <w:bookmarkStart w:id="68" w:name="_Toc278799612"/>
      <w:bookmarkStart w:id="69" w:name="_Toc315644932"/>
      <w:bookmarkStart w:id="70" w:name="_Toc315722219"/>
      <w:bookmarkStart w:id="71" w:name="_Toc316459439"/>
      <w:bookmarkStart w:id="72" w:name="_Toc327952087"/>
      <w:bookmarkStart w:id="73" w:name="_Toc350849290"/>
      <w:bookmarkStart w:id="74" w:name="_Toc388548682"/>
      <w:bookmarkStart w:id="75" w:name="_Toc398218604"/>
      <w:bookmarkStart w:id="76" w:name="_Toc414193697"/>
      <w:bookmarkStart w:id="77" w:name="_Toc414197036"/>
      <w:r w:rsidRPr="006C7CFA">
        <w:rPr>
          <w:rFonts w:cs="Arial"/>
          <w:b/>
        </w:rPr>
        <w:t>Treasurer - Role &amp; Responsibilities</w:t>
      </w:r>
      <w:bookmarkEnd w:id="65"/>
      <w:bookmarkEnd w:id="66"/>
      <w:bookmarkEnd w:id="67"/>
      <w:bookmarkEnd w:id="68"/>
      <w:bookmarkEnd w:id="69"/>
      <w:bookmarkEnd w:id="70"/>
      <w:bookmarkEnd w:id="71"/>
      <w:bookmarkEnd w:id="72"/>
      <w:bookmarkEnd w:id="73"/>
      <w:bookmarkEnd w:id="74"/>
      <w:bookmarkEnd w:id="75"/>
      <w:bookmarkEnd w:id="76"/>
      <w:bookmarkEnd w:id="77"/>
    </w:p>
    <w:p w:rsidR="00F32C62" w:rsidRPr="006C7CFA" w:rsidRDefault="00F32C62" w:rsidP="00F32C6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jc w:val="both"/>
        <w:rPr>
          <w:rFonts w:cs="Arial"/>
          <w:lang w:val="en-US"/>
        </w:rPr>
      </w:pPr>
      <w:r w:rsidRPr="006C7CFA">
        <w:rPr>
          <w:rFonts w:cs="Arial"/>
          <w:lang w:val="en-US"/>
        </w:rPr>
        <w:t>All roles and responsibilities relating to the Board of Management apply to the Treasurer.</w:t>
      </w:r>
    </w:p>
    <w:p w:rsidR="00F32C62" w:rsidRPr="006C7CFA" w:rsidRDefault="00F32C62" w:rsidP="00F32C6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jc w:val="both"/>
        <w:rPr>
          <w:rFonts w:cs="Arial"/>
          <w:lang w:val="en-US"/>
        </w:rPr>
      </w:pPr>
      <w:r w:rsidRPr="006C7CFA">
        <w:rPr>
          <w:rFonts w:cs="Arial"/>
          <w:lang w:val="en-US"/>
        </w:rPr>
        <w:t xml:space="preserve">Scope of the Treasurer: To oversee the financial management and risk management of </w:t>
      </w:r>
      <w:r>
        <w:rPr>
          <w:rFonts w:cs="Arial"/>
          <w:lang w:val="en-US"/>
        </w:rPr>
        <w:t>Community Gateway</w:t>
      </w:r>
      <w:r w:rsidRPr="006C7CFA">
        <w:rPr>
          <w:rFonts w:cs="Arial"/>
          <w:lang w:val="en-US"/>
        </w:rPr>
        <w:t>.</w:t>
      </w:r>
    </w:p>
    <w:p w:rsidR="00F32C62" w:rsidRPr="006C7CFA" w:rsidRDefault="00F32C62" w:rsidP="00F32C6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jc w:val="both"/>
        <w:rPr>
          <w:rFonts w:cs="Arial"/>
          <w:lang w:val="en-US"/>
        </w:rPr>
      </w:pPr>
      <w:r w:rsidRPr="006C7CFA">
        <w:rPr>
          <w:rFonts w:cs="Arial"/>
          <w:lang w:val="en-US"/>
        </w:rPr>
        <w:t>In addition to the Board of Management duties, it is the duty of the Treasurer to ensure that:</w:t>
      </w:r>
    </w:p>
    <w:p w:rsidR="00F32C62" w:rsidRPr="006C7CFA" w:rsidRDefault="00F32C62" w:rsidP="00F32C62">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312" w:lineRule="auto"/>
        <w:jc w:val="both"/>
        <w:rPr>
          <w:rFonts w:cs="Arial"/>
          <w:lang w:val="en-US"/>
        </w:rPr>
      </w:pPr>
      <w:r w:rsidRPr="006C7CFA">
        <w:rPr>
          <w:rFonts w:cs="Arial"/>
          <w:lang w:val="en-US"/>
        </w:rPr>
        <w:t xml:space="preserve">The Board is informed of the current financial situation of </w:t>
      </w:r>
      <w:r>
        <w:rPr>
          <w:rFonts w:cs="Arial"/>
          <w:lang w:val="en-US"/>
        </w:rPr>
        <w:t>Community Gateway</w:t>
      </w:r>
      <w:r w:rsidRPr="006C7CFA">
        <w:rPr>
          <w:rFonts w:cs="Arial"/>
          <w:lang w:val="en-US"/>
        </w:rPr>
        <w:t xml:space="preserve"> and any future financial liabilities or risk. </w:t>
      </w:r>
      <w:r w:rsidRPr="006C7CFA">
        <w:rPr>
          <w:rFonts w:cs="Arial"/>
          <w:lang w:val="en-US"/>
        </w:rPr>
        <w:softHyphen/>
      </w:r>
    </w:p>
    <w:p w:rsidR="00F32C62" w:rsidRPr="006C7CFA" w:rsidRDefault="00F32C62" w:rsidP="00F32C62">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312" w:lineRule="auto"/>
        <w:jc w:val="both"/>
        <w:rPr>
          <w:rFonts w:cs="Arial"/>
          <w:lang w:val="en-US"/>
        </w:rPr>
      </w:pPr>
      <w:r w:rsidRPr="006C7CFA">
        <w:rPr>
          <w:rFonts w:cs="Arial"/>
          <w:lang w:val="en-US"/>
        </w:rPr>
        <w:t xml:space="preserve">All monies due to the </w:t>
      </w:r>
      <w:proofErr w:type="spellStart"/>
      <w:r w:rsidRPr="006C7CFA">
        <w:rPr>
          <w:rFonts w:cs="Arial"/>
          <w:lang w:val="en-US"/>
        </w:rPr>
        <w:t>organisation</w:t>
      </w:r>
      <w:proofErr w:type="spellEnd"/>
      <w:r w:rsidRPr="006C7CFA">
        <w:rPr>
          <w:rFonts w:cs="Arial"/>
          <w:lang w:val="en-US"/>
        </w:rPr>
        <w:t xml:space="preserve"> are collected and received and all liabilities are met or are being capable of being met.</w:t>
      </w:r>
    </w:p>
    <w:p w:rsidR="00F32C62" w:rsidRPr="006C7CFA" w:rsidRDefault="00F32C62" w:rsidP="00F32C62">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312" w:lineRule="auto"/>
        <w:jc w:val="both"/>
        <w:rPr>
          <w:rFonts w:cs="Arial"/>
          <w:lang w:val="en-US"/>
        </w:rPr>
      </w:pPr>
      <w:r w:rsidRPr="006C7CFA">
        <w:rPr>
          <w:rFonts w:cs="Arial"/>
          <w:lang w:val="en-US"/>
        </w:rPr>
        <w:t xml:space="preserve">Correct books and accounts are kept showing the financial affairs of </w:t>
      </w:r>
      <w:r>
        <w:rPr>
          <w:rFonts w:cs="Arial"/>
          <w:lang w:val="en-US"/>
        </w:rPr>
        <w:t>Community Gateway</w:t>
      </w:r>
      <w:r w:rsidRPr="006C7CFA">
        <w:rPr>
          <w:rFonts w:cs="Arial"/>
          <w:lang w:val="en-US"/>
        </w:rPr>
        <w:t xml:space="preserve"> including full details of all receipts and expenditure connected with the activities of </w:t>
      </w:r>
      <w:r>
        <w:rPr>
          <w:rFonts w:cs="Arial"/>
          <w:lang w:val="en-US"/>
        </w:rPr>
        <w:t>Community Gateway</w:t>
      </w:r>
      <w:r w:rsidRPr="006C7CFA">
        <w:rPr>
          <w:rFonts w:cs="Arial"/>
          <w:lang w:val="en-US"/>
        </w:rPr>
        <w:t>.</w:t>
      </w:r>
    </w:p>
    <w:p w:rsidR="00F32C62" w:rsidRPr="006C7CFA" w:rsidRDefault="00F32C62" w:rsidP="00F32C62">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312" w:lineRule="auto"/>
        <w:jc w:val="both"/>
        <w:rPr>
          <w:rFonts w:cs="Arial"/>
          <w:lang w:val="en-US"/>
        </w:rPr>
      </w:pPr>
      <w:r w:rsidRPr="006C7CFA">
        <w:rPr>
          <w:rFonts w:cs="Arial"/>
          <w:lang w:val="en-US"/>
        </w:rPr>
        <w:t>To ensure that funds are expended according to the guidelines of funding bodies and there is adequate record keeping for the audit trail.</w:t>
      </w:r>
    </w:p>
    <w:p w:rsidR="00F32C62" w:rsidRPr="00B80851" w:rsidRDefault="00F32C62" w:rsidP="00F32C62">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312" w:lineRule="auto"/>
        <w:jc w:val="both"/>
        <w:rPr>
          <w:rFonts w:cs="Arial"/>
          <w:lang w:val="en-US"/>
        </w:rPr>
      </w:pPr>
      <w:r w:rsidRPr="006C7CFA">
        <w:rPr>
          <w:rFonts w:cs="Arial"/>
          <w:b/>
        </w:rPr>
        <w:t>Fundraising money is raised in accordance with the relevant laws and regulations.</w:t>
      </w:r>
    </w:p>
    <w:p w:rsidR="00F32C62" w:rsidRPr="006C7CFA" w:rsidRDefault="00F32C62" w:rsidP="00F32C62">
      <w:pPr>
        <w:widowControl w:val="0"/>
        <w:autoSpaceDE w:val="0"/>
        <w:autoSpaceDN w:val="0"/>
        <w:adjustRightInd w:val="0"/>
        <w:spacing w:line="312" w:lineRule="auto"/>
        <w:jc w:val="both"/>
        <w:rPr>
          <w:rFonts w:cs="Arial"/>
          <w:b/>
          <w:bCs/>
          <w:lang w:val="en-US"/>
        </w:rPr>
      </w:pPr>
      <w:r w:rsidRPr="006C7CFA">
        <w:rPr>
          <w:rFonts w:cs="Arial"/>
          <w:b/>
          <w:bCs/>
          <w:lang w:val="en-US"/>
        </w:rPr>
        <w:tab/>
      </w:r>
      <w:r w:rsidRPr="006C7CFA">
        <w:rPr>
          <w:rFonts w:cs="Arial"/>
          <w:b/>
          <w:bCs/>
          <w:lang w:val="en-US"/>
        </w:rPr>
        <w:tab/>
      </w:r>
      <w:r w:rsidRPr="006C7CFA">
        <w:rPr>
          <w:rFonts w:cs="Arial"/>
          <w:b/>
          <w:bCs/>
          <w:lang w:val="en-US"/>
        </w:rPr>
        <w:tab/>
      </w:r>
      <w:r w:rsidRPr="006C7CFA">
        <w:rPr>
          <w:rFonts w:cs="Arial"/>
          <w:b/>
          <w:bCs/>
          <w:lang w:val="en-US"/>
        </w:rPr>
        <w:tab/>
      </w:r>
    </w:p>
    <w:p w:rsidR="00F32C62" w:rsidRPr="006C7CFA" w:rsidRDefault="00F32C62" w:rsidP="00F32C62">
      <w:pPr>
        <w:numPr>
          <w:ilvl w:val="1"/>
          <w:numId w:val="2"/>
        </w:numPr>
        <w:spacing w:after="0" w:line="312" w:lineRule="auto"/>
        <w:jc w:val="both"/>
        <w:rPr>
          <w:rFonts w:cs="Arial"/>
        </w:rPr>
      </w:pPr>
      <w:r w:rsidRPr="006C7CFA">
        <w:rPr>
          <w:rFonts w:cs="Arial"/>
        </w:rPr>
        <w:t>The Chair is first amongst equals and has no greater or lesser power than the other members unless specifically delegated by a vote of the Board. There should be a clear statement of duties of the Chairperson.</w:t>
      </w:r>
    </w:p>
    <w:p w:rsidR="00F32C62" w:rsidRPr="006C7CFA" w:rsidRDefault="00F32C62" w:rsidP="00F32C62">
      <w:pPr>
        <w:spacing w:line="312" w:lineRule="auto"/>
        <w:jc w:val="both"/>
        <w:rPr>
          <w:rFonts w:cs="Arial"/>
        </w:rPr>
      </w:pPr>
      <w:r w:rsidRPr="006C7CFA">
        <w:rPr>
          <w:rFonts w:cs="Arial"/>
        </w:rPr>
        <w:t xml:space="preserve">       </w:t>
      </w:r>
    </w:p>
    <w:p w:rsidR="00F32C62" w:rsidRPr="006C7CFA" w:rsidRDefault="00F32C62" w:rsidP="00F32C62">
      <w:pPr>
        <w:pBdr>
          <w:top w:val="single" w:sz="4" w:space="1" w:color="auto"/>
          <w:left w:val="single" w:sz="4" w:space="4" w:color="auto"/>
          <w:bottom w:val="single" w:sz="4" w:space="1" w:color="auto"/>
          <w:right w:val="single" w:sz="4" w:space="4" w:color="auto"/>
        </w:pBdr>
        <w:spacing w:line="312" w:lineRule="auto"/>
        <w:jc w:val="center"/>
        <w:outlineLvl w:val="0"/>
        <w:rPr>
          <w:rFonts w:cs="Arial"/>
          <w:b/>
        </w:rPr>
      </w:pPr>
    </w:p>
    <w:p w:rsidR="00F32C62" w:rsidRPr="006C7CFA" w:rsidRDefault="00F32C62" w:rsidP="00120564">
      <w:pPr>
        <w:pBdr>
          <w:top w:val="single" w:sz="4" w:space="1" w:color="auto"/>
          <w:left w:val="single" w:sz="4" w:space="4" w:color="auto"/>
          <w:bottom w:val="single" w:sz="4" w:space="1" w:color="auto"/>
          <w:right w:val="single" w:sz="4" w:space="4" w:color="auto"/>
        </w:pBdr>
        <w:spacing w:line="312" w:lineRule="auto"/>
        <w:jc w:val="center"/>
        <w:outlineLvl w:val="0"/>
        <w:rPr>
          <w:rFonts w:cs="Arial"/>
          <w:b/>
        </w:rPr>
      </w:pPr>
      <w:bookmarkStart w:id="78" w:name="_Toc273366063"/>
      <w:bookmarkStart w:id="79" w:name="_Toc273366844"/>
      <w:bookmarkStart w:id="80" w:name="_Toc273378638"/>
      <w:bookmarkStart w:id="81" w:name="_Toc278799613"/>
      <w:bookmarkStart w:id="82" w:name="_Toc315644933"/>
      <w:bookmarkStart w:id="83" w:name="_Toc315722220"/>
      <w:bookmarkStart w:id="84" w:name="_Toc316459440"/>
      <w:bookmarkStart w:id="85" w:name="_Toc327952088"/>
      <w:bookmarkStart w:id="86" w:name="_Toc350849291"/>
      <w:bookmarkStart w:id="87" w:name="_Toc388548683"/>
      <w:bookmarkStart w:id="88" w:name="_Toc398218605"/>
      <w:bookmarkStart w:id="89" w:name="_Toc414193698"/>
      <w:bookmarkStart w:id="90" w:name="_Toc414197037"/>
      <w:r w:rsidRPr="006C7CFA">
        <w:rPr>
          <w:rFonts w:cs="Arial"/>
          <w:b/>
        </w:rPr>
        <w:t>Statement of Duties for the Chairperson</w:t>
      </w:r>
      <w:bookmarkEnd w:id="78"/>
      <w:bookmarkEnd w:id="79"/>
      <w:bookmarkEnd w:id="80"/>
      <w:bookmarkEnd w:id="81"/>
      <w:bookmarkEnd w:id="82"/>
      <w:bookmarkEnd w:id="83"/>
      <w:bookmarkEnd w:id="84"/>
      <w:bookmarkEnd w:id="85"/>
      <w:bookmarkEnd w:id="86"/>
      <w:bookmarkEnd w:id="87"/>
      <w:bookmarkEnd w:id="88"/>
      <w:bookmarkEnd w:id="89"/>
      <w:bookmarkEnd w:id="90"/>
    </w:p>
    <w:p w:rsidR="00F32C62" w:rsidRPr="006C7CFA" w:rsidRDefault="00F32C62" w:rsidP="00F32C62">
      <w:pPr>
        <w:pBdr>
          <w:top w:val="single" w:sz="4" w:space="1" w:color="auto"/>
          <w:left w:val="single" w:sz="4" w:space="4" w:color="auto"/>
          <w:bottom w:val="single" w:sz="4" w:space="1" w:color="auto"/>
          <w:right w:val="single" w:sz="4" w:space="4" w:color="auto"/>
        </w:pBdr>
        <w:spacing w:line="312" w:lineRule="auto"/>
        <w:jc w:val="both"/>
        <w:rPr>
          <w:rFonts w:cs="Arial"/>
          <w:lang w:val="en-US"/>
        </w:rPr>
      </w:pPr>
      <w:r w:rsidRPr="006C7CFA">
        <w:rPr>
          <w:rFonts w:cs="Arial"/>
        </w:rPr>
        <w:t xml:space="preserve">Scope: </w:t>
      </w:r>
      <w:r w:rsidRPr="006C7CFA">
        <w:rPr>
          <w:rFonts w:cs="Arial"/>
          <w:lang w:val="en-US"/>
        </w:rPr>
        <w:t xml:space="preserve">The chairperson will be delegated to liaise with the Chief Executive Officer in between Board meetings but not make decisions that are Board decisions without reference to the Board or outside the delegations given. </w:t>
      </w:r>
    </w:p>
    <w:p w:rsidR="00F32C62" w:rsidRPr="006C7CFA" w:rsidRDefault="00F32C62" w:rsidP="00F32C62">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12" w:lineRule="auto"/>
        <w:jc w:val="both"/>
        <w:rPr>
          <w:rFonts w:cs="Arial"/>
          <w:lang w:val="en-US"/>
        </w:rPr>
      </w:pPr>
      <w:r w:rsidRPr="006C7CFA">
        <w:rPr>
          <w:rFonts w:cs="Arial"/>
          <w:lang w:val="en-US"/>
        </w:rPr>
        <w:t>The Chairperson will manage the Board meetings within the standard rules of Meeting Management.</w:t>
      </w:r>
    </w:p>
    <w:p w:rsidR="00F32C62" w:rsidRPr="006C7CFA" w:rsidRDefault="00F32C62" w:rsidP="00F32C62">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12" w:lineRule="auto"/>
        <w:jc w:val="both"/>
        <w:rPr>
          <w:rFonts w:cs="Arial"/>
          <w:lang w:val="en-US"/>
        </w:rPr>
      </w:pPr>
      <w:r w:rsidRPr="006C7CFA">
        <w:rPr>
          <w:rFonts w:cs="Arial"/>
          <w:lang w:val="en-US"/>
        </w:rPr>
        <w:t xml:space="preserve">The Chairperson shall meet with the Chief Executive Officer prior to the Board meeting to </w:t>
      </w:r>
      <w:proofErr w:type="spellStart"/>
      <w:r w:rsidRPr="006C7CFA">
        <w:rPr>
          <w:rFonts w:cs="Arial"/>
          <w:lang w:val="en-US"/>
        </w:rPr>
        <w:t>finalise</w:t>
      </w:r>
      <w:proofErr w:type="spellEnd"/>
      <w:r w:rsidRPr="006C7CFA">
        <w:rPr>
          <w:rFonts w:cs="Arial"/>
          <w:lang w:val="en-US"/>
        </w:rPr>
        <w:t xml:space="preserve"> the agenda and other relevant matters.</w:t>
      </w:r>
    </w:p>
    <w:p w:rsidR="00F32C62" w:rsidRPr="006C7CFA" w:rsidRDefault="00F32C62" w:rsidP="00F32C62">
      <w:pPr>
        <w:jc w:val="both"/>
        <w:rPr>
          <w:rFonts w:cs="Arial"/>
          <w:color w:val="000000"/>
        </w:rPr>
      </w:pPr>
    </w:p>
    <w:p w:rsidR="00F32C62" w:rsidRPr="006C7CFA" w:rsidRDefault="00F32C62" w:rsidP="00F32C62">
      <w:pPr>
        <w:pStyle w:val="Heading4"/>
        <w:jc w:val="both"/>
        <w:rPr>
          <w:rFonts w:asciiTheme="minorHAnsi" w:hAnsiTheme="minorHAnsi" w:cs="Arial"/>
          <w:color w:val="000000"/>
          <w:szCs w:val="24"/>
        </w:rPr>
      </w:pPr>
      <w:r w:rsidRPr="006C7CFA">
        <w:rPr>
          <w:rFonts w:asciiTheme="minorHAnsi" w:hAnsiTheme="minorHAnsi" w:cs="Arial"/>
          <w:color w:val="000000"/>
          <w:szCs w:val="24"/>
        </w:rPr>
        <w:lastRenderedPageBreak/>
        <w:t>MEASUREMENT</w:t>
      </w:r>
    </w:p>
    <w:p w:rsidR="00F32C62" w:rsidRPr="006C7CFA" w:rsidRDefault="00F32C62" w:rsidP="00F32C62">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 xml:space="preserve">Analysis of </w:t>
      </w:r>
      <w:r>
        <w:rPr>
          <w:rFonts w:asciiTheme="minorHAnsi" w:hAnsiTheme="minorHAnsi" w:cs="Arial"/>
          <w:color w:val="000000"/>
          <w:szCs w:val="24"/>
        </w:rPr>
        <w:t>client</w:t>
      </w:r>
      <w:r w:rsidRPr="006C7CFA">
        <w:rPr>
          <w:rFonts w:asciiTheme="minorHAnsi" w:hAnsiTheme="minorHAnsi" w:cs="Arial"/>
          <w:color w:val="000000"/>
          <w:szCs w:val="24"/>
        </w:rPr>
        <w:t xml:space="preserve"> and carer surveys</w:t>
      </w:r>
    </w:p>
    <w:p w:rsidR="00F32C62" w:rsidRPr="006C7CFA" w:rsidRDefault="00F32C62" w:rsidP="00F32C62">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Financial audit</w:t>
      </w:r>
    </w:p>
    <w:p w:rsidR="00F32C62" w:rsidRPr="006C7CFA" w:rsidRDefault="00F32C62" w:rsidP="00F32C62">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szCs w:val="24"/>
        </w:rPr>
        <w:t>Referral and service information</w:t>
      </w:r>
    </w:p>
    <w:p w:rsidR="00F32C62" w:rsidRPr="006C7CFA" w:rsidRDefault="00F32C62" w:rsidP="00F32C62">
      <w:pPr>
        <w:pStyle w:val="Heading4"/>
        <w:jc w:val="both"/>
        <w:rPr>
          <w:rFonts w:asciiTheme="minorHAnsi" w:hAnsiTheme="minorHAnsi" w:cs="Arial"/>
          <w:color w:val="000000"/>
          <w:szCs w:val="24"/>
        </w:rPr>
      </w:pPr>
      <w:r w:rsidRPr="006C7CFA">
        <w:rPr>
          <w:rFonts w:asciiTheme="minorHAnsi" w:hAnsiTheme="minorHAnsi" w:cs="Arial"/>
          <w:color w:val="000000"/>
          <w:szCs w:val="24"/>
        </w:rPr>
        <w:t>RESPONSIBILITIES</w:t>
      </w:r>
    </w:p>
    <w:p w:rsidR="00F32C62" w:rsidRPr="006C7CFA" w:rsidRDefault="00F32C62" w:rsidP="00F32C62">
      <w:pPr>
        <w:pStyle w:val="ListBullet2"/>
        <w:numPr>
          <w:ilvl w:val="0"/>
          <w:numId w:val="7"/>
        </w:numPr>
        <w:tabs>
          <w:tab w:val="num" w:pos="675"/>
        </w:tabs>
        <w:ind w:hanging="704"/>
        <w:jc w:val="both"/>
        <w:rPr>
          <w:rFonts w:asciiTheme="minorHAnsi" w:hAnsiTheme="minorHAnsi" w:cs="Arial"/>
          <w:color w:val="000000"/>
          <w:szCs w:val="24"/>
        </w:rPr>
      </w:pPr>
      <w:r w:rsidRPr="006C7CFA">
        <w:rPr>
          <w:rFonts w:asciiTheme="minorHAnsi" w:hAnsiTheme="minorHAnsi" w:cs="Arial"/>
          <w:color w:val="000000"/>
          <w:szCs w:val="24"/>
        </w:rPr>
        <w:t>Board of Management</w:t>
      </w:r>
    </w:p>
    <w:p w:rsidR="00F32C62" w:rsidRPr="006C7CFA" w:rsidRDefault="00F32C62" w:rsidP="00F32C62">
      <w:pPr>
        <w:pStyle w:val="ListBullet2"/>
        <w:numPr>
          <w:ilvl w:val="0"/>
          <w:numId w:val="7"/>
        </w:numPr>
        <w:tabs>
          <w:tab w:val="num" w:pos="675"/>
        </w:tabs>
        <w:ind w:hanging="704"/>
        <w:jc w:val="both"/>
        <w:rPr>
          <w:rFonts w:asciiTheme="minorHAnsi" w:hAnsiTheme="minorHAnsi" w:cs="Arial"/>
          <w:color w:val="000000"/>
          <w:szCs w:val="24"/>
        </w:rPr>
      </w:pPr>
      <w:r w:rsidRPr="006C7CFA">
        <w:rPr>
          <w:rFonts w:asciiTheme="minorHAnsi" w:hAnsiTheme="minorHAnsi" w:cs="Arial"/>
          <w:color w:val="000000"/>
          <w:szCs w:val="24"/>
        </w:rPr>
        <w:t>Chief Executive Officer</w:t>
      </w:r>
    </w:p>
    <w:p w:rsidR="00F32C62" w:rsidRDefault="00F32C62" w:rsidP="00F32C62">
      <w:pPr>
        <w:pStyle w:val="ListBullet2"/>
        <w:numPr>
          <w:ilvl w:val="0"/>
          <w:numId w:val="7"/>
        </w:numPr>
        <w:tabs>
          <w:tab w:val="num" w:pos="675"/>
        </w:tabs>
        <w:ind w:hanging="704"/>
        <w:jc w:val="both"/>
        <w:rPr>
          <w:rFonts w:asciiTheme="minorHAnsi" w:hAnsiTheme="minorHAnsi" w:cs="Arial"/>
          <w:color w:val="000000"/>
          <w:szCs w:val="24"/>
        </w:rPr>
      </w:pPr>
      <w:r>
        <w:rPr>
          <w:rFonts w:asciiTheme="minorHAnsi" w:hAnsiTheme="minorHAnsi" w:cs="Arial"/>
          <w:color w:val="000000"/>
          <w:szCs w:val="24"/>
        </w:rPr>
        <w:t>Director</w:t>
      </w:r>
      <w:r w:rsidRPr="006C7CFA">
        <w:rPr>
          <w:rFonts w:asciiTheme="minorHAnsi" w:hAnsiTheme="minorHAnsi" w:cs="Arial"/>
          <w:color w:val="000000"/>
          <w:szCs w:val="24"/>
        </w:rPr>
        <w:t>s</w:t>
      </w:r>
    </w:p>
    <w:p w:rsidR="00F32C62" w:rsidRDefault="00F32C62" w:rsidP="00F32C62">
      <w:pPr>
        <w:pStyle w:val="ListBullet2"/>
        <w:numPr>
          <w:ilvl w:val="0"/>
          <w:numId w:val="0"/>
        </w:numPr>
        <w:ind w:left="1004"/>
        <w:jc w:val="both"/>
        <w:rPr>
          <w:rFonts w:asciiTheme="minorHAnsi" w:hAnsiTheme="minorHAnsi" w:cs="Arial"/>
          <w:color w:val="000000"/>
          <w:szCs w:val="24"/>
        </w:rPr>
      </w:pPr>
    </w:p>
    <w:p w:rsidR="00F32C62" w:rsidRPr="00B80851" w:rsidRDefault="00F32C62" w:rsidP="00F32C62">
      <w:pPr>
        <w:pStyle w:val="Heading4"/>
        <w:jc w:val="both"/>
        <w:rPr>
          <w:rFonts w:asciiTheme="minorHAnsi" w:hAnsiTheme="minorHAnsi" w:cs="Arial"/>
          <w:color w:val="000000"/>
          <w:szCs w:val="24"/>
        </w:rPr>
      </w:pPr>
      <w:r w:rsidRPr="00B80851">
        <w:rPr>
          <w:rFonts w:asciiTheme="minorHAnsi" w:hAnsiTheme="minorHAnsi" w:cs="Arial"/>
          <w:color w:val="000000"/>
          <w:szCs w:val="24"/>
        </w:rPr>
        <w:t>STANDARDS and COMPLIANCE</w:t>
      </w: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color w:val="000000"/>
          <w:spacing w:val="-3"/>
          <w:sz w:val="20"/>
          <w:szCs w:val="20"/>
        </w:rPr>
      </w:pP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1.1:  Corporate Governance</w:t>
      </w: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1.2:  Regulatory Compliance</w:t>
      </w: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1.3:  Information Management Systems</w:t>
      </w: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1.4:  Community Understanding and Engagement</w:t>
      </w: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1.5:  Continuous Improvement</w:t>
      </w: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1.6:  Risk Management</w:t>
      </w: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1.7:  Human Resource Management</w:t>
      </w:r>
    </w:p>
    <w:p w:rsidR="00F32C62" w:rsidRPr="006C7CFA" w:rsidRDefault="00F32C62" w:rsidP="00F32C6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1.8:  Physical Resources</w:t>
      </w:r>
    </w:p>
    <w:p w:rsidR="00F32C62" w:rsidRPr="006C7CFA" w:rsidRDefault="00F32C62" w:rsidP="00F32C62">
      <w:pPr>
        <w:numPr>
          <w:ilvl w:val="12"/>
          <w:numId w:val="0"/>
        </w:numPr>
        <w:tabs>
          <w:tab w:val="right" w:pos="-189"/>
          <w:tab w:val="right" w:pos="7182"/>
          <w:tab w:val="left" w:pos="7741"/>
        </w:tabs>
        <w:suppressAutoHyphens/>
        <w:rPr>
          <w:rFonts w:cs="Arial"/>
          <w:i/>
          <w:sz w:val="20"/>
          <w:szCs w:val="20"/>
        </w:rPr>
      </w:pPr>
    </w:p>
    <w:p w:rsidR="00F32C62" w:rsidRPr="006C7CFA" w:rsidRDefault="00F32C62" w:rsidP="00F32C62">
      <w:pPr>
        <w:numPr>
          <w:ilvl w:val="12"/>
          <w:numId w:val="0"/>
        </w:numPr>
        <w:tabs>
          <w:tab w:val="right" w:pos="-189"/>
          <w:tab w:val="right" w:pos="7182"/>
          <w:tab w:val="left" w:pos="7741"/>
        </w:tabs>
        <w:suppressAutoHyphens/>
        <w:rPr>
          <w:rFonts w:cs="Arial"/>
          <w:b/>
          <w:i/>
          <w:spacing w:val="-3"/>
          <w:sz w:val="20"/>
          <w:szCs w:val="20"/>
        </w:rPr>
      </w:pPr>
      <w:r>
        <w:rPr>
          <w:rFonts w:cs="Arial"/>
          <w:i/>
          <w:sz w:val="20"/>
          <w:szCs w:val="20"/>
        </w:rPr>
        <w:t>Disability Service Standard 6: Service Management</w:t>
      </w:r>
    </w:p>
    <w:p w:rsidR="00BA0ABE" w:rsidRDefault="00BA0ABE"/>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1" w15:restartNumberingAfterBreak="0">
    <w:nsid w:val="0D5C3813"/>
    <w:multiLevelType w:val="hybridMultilevel"/>
    <w:tmpl w:val="6E308A5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A9868F9"/>
    <w:multiLevelType w:val="hybridMultilevel"/>
    <w:tmpl w:val="D9B0DEB8"/>
    <w:lvl w:ilvl="0" w:tplc="04090001">
      <w:start w:val="1"/>
      <w:numFmt w:val="bullet"/>
      <w:lvlText w:val=""/>
      <w:lvlJc w:val="left"/>
      <w:pPr>
        <w:tabs>
          <w:tab w:val="num" w:pos="1004"/>
        </w:tabs>
        <w:ind w:left="1004"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D5A66D2"/>
    <w:multiLevelType w:val="hybridMultilevel"/>
    <w:tmpl w:val="8320E656"/>
    <w:lvl w:ilvl="0" w:tplc="4888FE5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D8E0A41"/>
    <w:multiLevelType w:val="hybridMultilevel"/>
    <w:tmpl w:val="05AC17C6"/>
    <w:lvl w:ilvl="0" w:tplc="D54C3D9E">
      <w:start w:val="1"/>
      <w:numFmt w:val="bullet"/>
      <w:lvlText w:val=""/>
      <w:lvlJc w:val="left"/>
      <w:pPr>
        <w:tabs>
          <w:tab w:val="num" w:pos="216"/>
        </w:tabs>
        <w:ind w:left="216"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57B87E4D"/>
    <w:multiLevelType w:val="multilevel"/>
    <w:tmpl w:val="29D2D9FC"/>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6" w15:restartNumberingAfterBreak="0">
    <w:nsid w:val="5E3F70A6"/>
    <w:multiLevelType w:val="hybridMultilevel"/>
    <w:tmpl w:val="A112D3D2"/>
    <w:lvl w:ilvl="0" w:tplc="04090001">
      <w:start w:val="1"/>
      <w:numFmt w:val="bullet"/>
      <w:lvlText w:val=""/>
      <w:lvlJc w:val="left"/>
      <w:pPr>
        <w:tabs>
          <w:tab w:val="num" w:pos="1004"/>
        </w:tabs>
        <w:ind w:left="1004" w:hanging="360"/>
      </w:pPr>
      <w:rPr>
        <w:rFonts w:ascii="Symbol" w:hAnsi="Symbol" w:hint="default"/>
      </w:rPr>
    </w:lvl>
    <w:lvl w:ilvl="1" w:tplc="2656016A">
      <w:start w:val="1"/>
      <w:numFmt w:val="bullet"/>
      <w:lvlText w:val=""/>
      <w:lvlPicBulletId w:val="0"/>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7E5902AF"/>
    <w:multiLevelType w:val="hybridMultilevel"/>
    <w:tmpl w:val="23142A7E"/>
    <w:lvl w:ilvl="0" w:tplc="D54C3D9E">
      <w:start w:val="1"/>
      <w:numFmt w:val="bullet"/>
      <w:lvlText w:val=""/>
      <w:lvlJc w:val="left"/>
      <w:pPr>
        <w:tabs>
          <w:tab w:val="num" w:pos="216"/>
        </w:tabs>
        <w:ind w:left="216"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11FD8"/>
    <w:rsid w:val="00120564"/>
    <w:rsid w:val="002B65CF"/>
    <w:rsid w:val="00402D5F"/>
    <w:rsid w:val="005E43C3"/>
    <w:rsid w:val="007014AB"/>
    <w:rsid w:val="00AF32F7"/>
    <w:rsid w:val="00BA0ABE"/>
    <w:rsid w:val="00C21908"/>
    <w:rsid w:val="00F32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32C62"/>
    <w:pPr>
      <w:keepNext/>
      <w:spacing w:before="120" w:after="12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9"/>
    <w:qFormat/>
    <w:rsid w:val="00F32C62"/>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9"/>
    <w:qFormat/>
    <w:rsid w:val="00F32C62"/>
    <w:pPr>
      <w:keepNext/>
      <w:tabs>
        <w:tab w:val="left" w:pos="990"/>
      </w:tabs>
      <w:spacing w:before="120" w:after="12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2C62"/>
    <w:rPr>
      <w:rFonts w:ascii="Arial" w:eastAsia="Times New Roman" w:hAnsi="Arial" w:cs="Times New Roman"/>
      <w:b/>
      <w:sz w:val="36"/>
      <w:szCs w:val="20"/>
    </w:rPr>
  </w:style>
  <w:style w:type="character" w:customStyle="1" w:styleId="Heading2Char">
    <w:name w:val="Heading 2 Char"/>
    <w:basedOn w:val="DefaultParagraphFont"/>
    <w:link w:val="Heading2"/>
    <w:uiPriority w:val="99"/>
    <w:rsid w:val="00F32C62"/>
    <w:rPr>
      <w:rFonts w:ascii="Arial" w:eastAsia="Times New Roman" w:hAnsi="Arial" w:cs="Times New Roman"/>
      <w:b/>
      <w:sz w:val="32"/>
      <w:szCs w:val="20"/>
      <w:shd w:val="clear" w:color="auto" w:fill="C0C0C0"/>
    </w:rPr>
  </w:style>
  <w:style w:type="character" w:customStyle="1" w:styleId="Heading4Char">
    <w:name w:val="Heading 4 Char"/>
    <w:basedOn w:val="DefaultParagraphFont"/>
    <w:link w:val="Heading4"/>
    <w:uiPriority w:val="99"/>
    <w:rsid w:val="00F32C62"/>
    <w:rPr>
      <w:rFonts w:ascii="Arial" w:eastAsia="Times New Roman" w:hAnsi="Arial" w:cs="Times New Roman"/>
      <w:b/>
      <w:sz w:val="24"/>
      <w:szCs w:val="20"/>
    </w:rPr>
  </w:style>
  <w:style w:type="paragraph" w:styleId="Header">
    <w:name w:val="header"/>
    <w:basedOn w:val="Normal"/>
    <w:link w:val="HeaderChar"/>
    <w:uiPriority w:val="99"/>
    <w:rsid w:val="00F32C62"/>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F32C62"/>
    <w:rPr>
      <w:rFonts w:ascii="Arial" w:eastAsia="Times New Roman" w:hAnsi="Arial" w:cs="Times New Roman"/>
      <w:sz w:val="20"/>
      <w:szCs w:val="24"/>
    </w:rPr>
  </w:style>
  <w:style w:type="paragraph" w:styleId="ListBullet2">
    <w:name w:val="List Bullet 2"/>
    <w:basedOn w:val="BodyText"/>
    <w:uiPriority w:val="99"/>
    <w:rsid w:val="00F32C62"/>
    <w:pPr>
      <w:widowControl w:val="0"/>
      <w:numPr>
        <w:numId w:val="1"/>
      </w:numPr>
      <w:tabs>
        <w:tab w:val="clear" w:pos="660"/>
        <w:tab w:val="num" w:pos="360"/>
      </w:tabs>
      <w:spacing w:line="240" w:lineRule="auto"/>
      <w:ind w:left="0" w:firstLine="0"/>
    </w:pPr>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32C62"/>
    <w:pPr>
      <w:spacing w:after="120"/>
    </w:pPr>
  </w:style>
  <w:style w:type="character" w:customStyle="1" w:styleId="BodyTextChar">
    <w:name w:val="Body Text Char"/>
    <w:basedOn w:val="DefaultParagraphFont"/>
    <w:link w:val="BodyText"/>
    <w:uiPriority w:val="99"/>
    <w:semiHidden/>
    <w:rsid w:val="00F3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Patricia Smith</cp:lastModifiedBy>
  <cp:revision>3</cp:revision>
  <dcterms:created xsi:type="dcterms:W3CDTF">2017-01-10T22:38:00Z</dcterms:created>
  <dcterms:modified xsi:type="dcterms:W3CDTF">2018-06-14T03:09:00Z</dcterms:modified>
</cp:coreProperties>
</file>