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86" w:rsidRPr="00A80655" w:rsidRDefault="001F2186" w:rsidP="001F2186">
      <w:pPr>
        <w:pStyle w:val="Heading2"/>
        <w:shd w:val="clear" w:color="auto" w:fill="auto"/>
        <w:jc w:val="both"/>
        <w:rPr>
          <w:rFonts w:ascii="Calibri" w:hAnsi="Calibri"/>
          <w:sz w:val="24"/>
          <w:szCs w:val="24"/>
        </w:rPr>
      </w:pPr>
      <w:bookmarkStart w:id="0" w:name="_Toc104801409"/>
      <w:bookmarkStart w:id="1" w:name="_Toc188521775"/>
      <w:bookmarkStart w:id="2" w:name="_Toc278799839"/>
      <w:bookmarkStart w:id="3" w:name="_Toc315645187"/>
      <w:bookmarkStart w:id="4" w:name="_Toc374368884"/>
      <w:bookmarkStart w:id="5" w:name="_Toc414197267"/>
      <w:bookmarkStart w:id="6" w:name="_GoBack"/>
      <w:bookmarkEnd w:id="6"/>
      <w:r w:rsidRPr="00A80655">
        <w:rPr>
          <w:rFonts w:ascii="Calibri" w:hAnsi="Calibri"/>
          <w:sz w:val="24"/>
          <w:szCs w:val="24"/>
        </w:rPr>
        <w:t xml:space="preserve">P6:  </w:t>
      </w:r>
      <w:bookmarkEnd w:id="0"/>
      <w:bookmarkEnd w:id="1"/>
      <w:bookmarkEnd w:id="2"/>
      <w:bookmarkEnd w:id="3"/>
      <w:r w:rsidRPr="00A80655">
        <w:rPr>
          <w:rFonts w:ascii="Calibri" w:hAnsi="Calibri"/>
          <w:sz w:val="24"/>
          <w:szCs w:val="24"/>
        </w:rPr>
        <w:t>CASE CLOSURE AND EXIT</w:t>
      </w:r>
      <w:bookmarkEnd w:id="4"/>
      <w:bookmarkEnd w:id="5"/>
    </w:p>
    <w:p w:rsidR="001F2186" w:rsidRPr="00AA61CB" w:rsidRDefault="001F2186" w:rsidP="001F2186">
      <w:pPr>
        <w:pStyle w:val="Heading4"/>
        <w:jc w:val="both"/>
        <w:rPr>
          <w:szCs w:val="24"/>
        </w:rPr>
      </w:pPr>
      <w:r w:rsidRPr="00AA61CB">
        <w:rPr>
          <w:szCs w:val="24"/>
        </w:rPr>
        <w:t>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F2186" w:rsidRPr="00AA61CB" w:rsidTr="00040E82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186" w:rsidRPr="00AA61CB" w:rsidRDefault="00DA6E8B" w:rsidP="00040E82">
            <w:pPr>
              <w:pStyle w:val="BodyText"/>
              <w:spacing w:before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Where a client is receiving case management, exit planning is commenced as part of development of client goals in the Client Support Plan. </w:t>
            </w:r>
            <w:r w:rsidR="001F2186" w:rsidRPr="00AA61CB">
              <w:rPr>
                <w:rFonts w:ascii="Calibri" w:hAnsi="Calibri"/>
                <w:szCs w:val="24"/>
              </w:rPr>
              <w:t xml:space="preserve">  The aim is to ensure that the </w:t>
            </w:r>
            <w:r w:rsidR="001F2186">
              <w:rPr>
                <w:rFonts w:ascii="Calibri" w:hAnsi="Calibri"/>
                <w:szCs w:val="24"/>
              </w:rPr>
              <w:t>client</w:t>
            </w:r>
            <w:r w:rsidR="001F2186" w:rsidRPr="00AA61CB">
              <w:rPr>
                <w:rFonts w:ascii="Calibri" w:hAnsi="Calibri"/>
                <w:szCs w:val="24"/>
              </w:rPr>
              <w:t xml:space="preserve"> experiences smooth transition from case management to other types of support whe</w:t>
            </w:r>
            <w:r>
              <w:rPr>
                <w:rFonts w:ascii="Calibri" w:hAnsi="Calibri"/>
                <w:szCs w:val="24"/>
              </w:rPr>
              <w:t>re</w:t>
            </w:r>
            <w:r w:rsidR="001F2186" w:rsidRPr="00AA61CB">
              <w:rPr>
                <w:rFonts w:ascii="Calibri" w:hAnsi="Calibri"/>
                <w:szCs w:val="24"/>
              </w:rPr>
              <w:t xml:space="preserve"> appropriate.</w:t>
            </w:r>
          </w:p>
          <w:p w:rsidR="00AD5650" w:rsidRDefault="001F2186" w:rsidP="00AD5650">
            <w:pPr>
              <w:pStyle w:val="BodyText"/>
              <w:spacing w:before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Client</w:t>
            </w:r>
            <w:r w:rsidRPr="00AA61CB">
              <w:rPr>
                <w:rFonts w:ascii="Calibri" w:hAnsi="Calibri"/>
                <w:szCs w:val="24"/>
              </w:rPr>
              <w:t xml:space="preserve">s exit for a variety of reasons including </w:t>
            </w:r>
            <w:r w:rsidR="00AD5650">
              <w:rPr>
                <w:rFonts w:ascii="Calibri" w:hAnsi="Calibri"/>
                <w:szCs w:val="24"/>
              </w:rPr>
              <w:t xml:space="preserve">achievement of individual goals, </w:t>
            </w:r>
            <w:r w:rsidRPr="00AA61CB">
              <w:rPr>
                <w:rFonts w:ascii="Calibri" w:hAnsi="Calibri"/>
                <w:szCs w:val="24"/>
              </w:rPr>
              <w:t xml:space="preserve">changes in living situations, entry into residential care, or death.  </w:t>
            </w:r>
          </w:p>
          <w:p w:rsidR="001F2186" w:rsidRPr="00AA61CB" w:rsidRDefault="00AD5650" w:rsidP="00AD5650">
            <w:pPr>
              <w:pStyle w:val="BodyText"/>
              <w:spacing w:before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  <w:r w:rsidR="001F2186" w:rsidRPr="00AA61CB">
              <w:rPr>
                <w:rFonts w:ascii="Calibri" w:hAnsi="Calibri"/>
                <w:szCs w:val="24"/>
              </w:rPr>
              <w:t xml:space="preserve"> </w:t>
            </w:r>
            <w:r w:rsidR="001F2186">
              <w:rPr>
                <w:rFonts w:ascii="Calibri" w:hAnsi="Calibri"/>
                <w:szCs w:val="24"/>
              </w:rPr>
              <w:t>client</w:t>
            </w:r>
            <w:r w:rsidR="001F2186" w:rsidRPr="00AA61CB">
              <w:rPr>
                <w:rFonts w:ascii="Calibri" w:hAnsi="Calibri"/>
                <w:szCs w:val="24"/>
              </w:rPr>
              <w:t xml:space="preserve"> may be exited on the understanding that they </w:t>
            </w:r>
            <w:r w:rsidR="001F2186">
              <w:rPr>
                <w:rFonts w:ascii="Calibri" w:hAnsi="Calibri"/>
                <w:szCs w:val="24"/>
              </w:rPr>
              <w:t>can re-refer for</w:t>
            </w:r>
            <w:r w:rsidR="001F2186" w:rsidRPr="00AA61CB">
              <w:rPr>
                <w:rFonts w:ascii="Calibri" w:hAnsi="Calibri"/>
                <w:szCs w:val="24"/>
              </w:rPr>
              <w:t xml:space="preserve"> support in the future if required.</w:t>
            </w:r>
          </w:p>
        </w:tc>
      </w:tr>
    </w:tbl>
    <w:p w:rsidR="001F2186" w:rsidRPr="00AA61CB" w:rsidRDefault="001F2186" w:rsidP="001F2186">
      <w:pPr>
        <w:jc w:val="both"/>
        <w:rPr>
          <w:rFonts w:ascii="Calibri" w:hAnsi="Calibri"/>
        </w:rPr>
      </w:pPr>
    </w:p>
    <w:p w:rsidR="001F2186" w:rsidRPr="00AA61CB" w:rsidRDefault="001F2186" w:rsidP="001F2186">
      <w:pPr>
        <w:pStyle w:val="Heading4"/>
        <w:jc w:val="both"/>
        <w:rPr>
          <w:szCs w:val="24"/>
        </w:rPr>
      </w:pPr>
      <w:r w:rsidRPr="00AA61CB">
        <w:rPr>
          <w:szCs w:val="24"/>
        </w:rPr>
        <w:t>PROCEDURE</w:t>
      </w:r>
    </w:p>
    <w:p w:rsidR="00AD5650" w:rsidRPr="00AA61CB" w:rsidRDefault="00AD5650" w:rsidP="00AD5650">
      <w:pPr>
        <w:pStyle w:val="BodyText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Community Gateway</w:t>
      </w:r>
      <w:r w:rsidRPr="00AA61CB">
        <w:rPr>
          <w:rFonts w:ascii="Calibri" w:hAnsi="Calibri"/>
          <w:szCs w:val="24"/>
        </w:rPr>
        <w:t xml:space="preserve"> will</w:t>
      </w:r>
      <w:r>
        <w:rPr>
          <w:rFonts w:ascii="Calibri" w:hAnsi="Calibri"/>
          <w:szCs w:val="24"/>
        </w:rPr>
        <w:t xml:space="preserve"> not give up their support</w:t>
      </w:r>
      <w:r w:rsidRPr="00AA61CB">
        <w:rPr>
          <w:rFonts w:ascii="Calibri" w:hAnsi="Calibri"/>
          <w:szCs w:val="24"/>
        </w:rPr>
        <w:t xml:space="preserve"> responsibility for a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without first discussing this with the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and other age</w:t>
      </w:r>
      <w:r>
        <w:rPr>
          <w:rFonts w:ascii="Calibri" w:hAnsi="Calibri"/>
          <w:szCs w:val="24"/>
        </w:rPr>
        <w:t>ncies providing services.</w:t>
      </w:r>
    </w:p>
    <w:p w:rsidR="001F2186" w:rsidRPr="00AA61CB" w:rsidRDefault="001F2186" w:rsidP="001F2186">
      <w:pPr>
        <w:pStyle w:val="BodyText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Many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>s may no longer require an int</w:t>
      </w:r>
      <w:r>
        <w:rPr>
          <w:rFonts w:ascii="Calibri" w:hAnsi="Calibri"/>
          <w:szCs w:val="24"/>
        </w:rPr>
        <w:t xml:space="preserve">ensive level of </w:t>
      </w:r>
      <w:r w:rsidRPr="00AA61CB">
        <w:rPr>
          <w:rFonts w:ascii="Calibri" w:hAnsi="Calibri"/>
          <w:szCs w:val="24"/>
        </w:rPr>
        <w:t xml:space="preserve">support and may be receiving straight forward services from a small number of agencies.  In this case the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may become responsible for the co-ordination of services themselves. One agency however, should still be identified as the principal service provider, and be responsible for monitoring and reviewing the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’s and/or carer’s needs.  The principal service provider role should be reviewed at the same time </w:t>
      </w:r>
      <w:r w:rsidR="00AD5650">
        <w:rPr>
          <w:rFonts w:ascii="Calibri" w:hAnsi="Calibri"/>
          <w:szCs w:val="24"/>
        </w:rPr>
        <w:t>Client Support Plans</w:t>
      </w:r>
      <w:r w:rsidRPr="00AA61CB">
        <w:rPr>
          <w:rFonts w:ascii="Calibri" w:hAnsi="Calibri"/>
          <w:szCs w:val="24"/>
        </w:rPr>
        <w:t xml:space="preserve"> are reviewed.</w:t>
      </w:r>
    </w:p>
    <w:p w:rsidR="001F2186" w:rsidRPr="00AA61CB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Community Gateway</w:t>
      </w:r>
      <w:r w:rsidRPr="00AA61CB">
        <w:rPr>
          <w:rFonts w:ascii="Calibri" w:hAnsi="Calibri"/>
          <w:szCs w:val="24"/>
        </w:rPr>
        <w:t xml:space="preserve"> will not reduce the level of service provided to a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without first discussing this with the </w:t>
      </w:r>
      <w:r>
        <w:rPr>
          <w:rFonts w:ascii="Calibri" w:hAnsi="Calibri"/>
          <w:szCs w:val="24"/>
        </w:rPr>
        <w:t xml:space="preserve">client.  </w:t>
      </w:r>
      <w:r w:rsidRPr="00AA61CB">
        <w:rPr>
          <w:rFonts w:ascii="Calibri" w:hAnsi="Calibri"/>
          <w:szCs w:val="24"/>
        </w:rPr>
        <w:t xml:space="preserve">Advocates may be involved in supporting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>s in these decisions.</w:t>
      </w:r>
    </w:p>
    <w:p w:rsidR="001F2186" w:rsidRPr="00AA61CB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Operational staff</w:t>
      </w:r>
      <w:r w:rsidRPr="00AA61CB">
        <w:rPr>
          <w:rFonts w:ascii="Calibri" w:hAnsi="Calibri"/>
          <w:szCs w:val="24"/>
        </w:rPr>
        <w:t xml:space="preserve"> will advise the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verbally and in writing of the decision and rea</w:t>
      </w:r>
      <w:r>
        <w:rPr>
          <w:rFonts w:ascii="Calibri" w:hAnsi="Calibri"/>
          <w:szCs w:val="24"/>
        </w:rPr>
        <w:t>sons to withdraw support</w:t>
      </w:r>
      <w:r w:rsidRPr="00AA61CB">
        <w:rPr>
          <w:rFonts w:ascii="Calibri" w:hAnsi="Calibri"/>
          <w:szCs w:val="24"/>
        </w:rPr>
        <w:t xml:space="preserve"> services.</w:t>
      </w:r>
    </w:p>
    <w:p w:rsidR="001F2186" w:rsidRPr="00AB5C20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B5C20">
        <w:rPr>
          <w:rFonts w:ascii="Calibri" w:hAnsi="Calibri"/>
          <w:szCs w:val="24"/>
        </w:rPr>
        <w:t>Operational staff will explore referral options if ongoing support or care is needed and plan transition.</w:t>
      </w:r>
    </w:p>
    <w:p w:rsidR="00AB5C20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B5C20">
        <w:rPr>
          <w:rFonts w:ascii="Calibri" w:hAnsi="Calibri"/>
          <w:szCs w:val="24"/>
        </w:rPr>
        <w:t xml:space="preserve">Operational staff will send a discharge letter with </w:t>
      </w:r>
      <w:r w:rsidR="00AB5C20" w:rsidRPr="00AB5C20">
        <w:rPr>
          <w:rFonts w:ascii="Calibri" w:hAnsi="Calibri"/>
          <w:szCs w:val="24"/>
        </w:rPr>
        <w:t xml:space="preserve">exit </w:t>
      </w:r>
      <w:r w:rsidRPr="00AB5C20">
        <w:rPr>
          <w:rFonts w:ascii="Calibri" w:hAnsi="Calibri"/>
          <w:szCs w:val="24"/>
        </w:rPr>
        <w:t>questionnaire unless, such as in</w:t>
      </w:r>
      <w:r w:rsidR="00AB5C20">
        <w:rPr>
          <w:rFonts w:ascii="Calibri" w:hAnsi="Calibri"/>
          <w:szCs w:val="24"/>
        </w:rPr>
        <w:t xml:space="preserve"> the case of death of a client.</w:t>
      </w:r>
    </w:p>
    <w:p w:rsidR="001F2186" w:rsidRPr="00AB5C20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B5C20">
        <w:rPr>
          <w:rFonts w:ascii="Calibri" w:hAnsi="Calibri"/>
          <w:szCs w:val="24"/>
        </w:rPr>
        <w:t>Operational staff will finalise accounts.</w:t>
      </w:r>
    </w:p>
    <w:p w:rsidR="001F2186" w:rsidRPr="00AA61CB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Operational staff</w:t>
      </w:r>
      <w:r w:rsidRPr="00AA61CB">
        <w:rPr>
          <w:rFonts w:ascii="Calibri" w:hAnsi="Calibri"/>
          <w:szCs w:val="24"/>
        </w:rPr>
        <w:t xml:space="preserve"> will advise service providers of discharge</w:t>
      </w:r>
      <w:r>
        <w:rPr>
          <w:rFonts w:ascii="Calibri" w:hAnsi="Calibri"/>
          <w:szCs w:val="24"/>
        </w:rPr>
        <w:t>.</w:t>
      </w:r>
    </w:p>
    <w:p w:rsidR="001F2186" w:rsidRPr="00AA61CB" w:rsidRDefault="001F2186" w:rsidP="001F218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Operational staff</w:t>
      </w:r>
      <w:r w:rsidRPr="00AA61CB">
        <w:rPr>
          <w:rFonts w:ascii="Calibri" w:hAnsi="Calibri"/>
          <w:szCs w:val="24"/>
        </w:rPr>
        <w:t xml:space="preserve"> will complete documentatio</w:t>
      </w:r>
      <w:r>
        <w:rPr>
          <w:rFonts w:ascii="Calibri" w:hAnsi="Calibri"/>
          <w:szCs w:val="24"/>
        </w:rPr>
        <w:t xml:space="preserve">n and </w:t>
      </w:r>
      <w:r w:rsidR="00AB5C20">
        <w:rPr>
          <w:rFonts w:ascii="Calibri" w:hAnsi="Calibri"/>
          <w:szCs w:val="24"/>
        </w:rPr>
        <w:t>close ProSIMS file</w:t>
      </w:r>
      <w:r>
        <w:rPr>
          <w:rFonts w:ascii="Calibri" w:hAnsi="Calibri"/>
          <w:szCs w:val="24"/>
        </w:rPr>
        <w:t>.</w:t>
      </w:r>
    </w:p>
    <w:p w:rsidR="001F2186" w:rsidRPr="00AA61CB" w:rsidRDefault="001F2186" w:rsidP="001F2186">
      <w:pPr>
        <w:pStyle w:val="ListBullet2"/>
        <w:numPr>
          <w:ilvl w:val="0"/>
          <w:numId w:val="0"/>
        </w:numPr>
        <w:ind w:left="284"/>
        <w:jc w:val="both"/>
        <w:rPr>
          <w:rFonts w:ascii="Calibri" w:hAnsi="Calibri"/>
          <w:szCs w:val="24"/>
        </w:rPr>
      </w:pPr>
    </w:p>
    <w:p w:rsidR="001F2186" w:rsidRPr="00AA61CB" w:rsidRDefault="001F2186" w:rsidP="001F2186">
      <w:pPr>
        <w:pStyle w:val="Heading4"/>
        <w:jc w:val="both"/>
        <w:rPr>
          <w:szCs w:val="24"/>
        </w:rPr>
      </w:pPr>
      <w:r w:rsidRPr="00AA61CB">
        <w:rPr>
          <w:szCs w:val="24"/>
        </w:rPr>
        <w:t>MEASUREMENT</w:t>
      </w:r>
    </w:p>
    <w:p w:rsidR="001F2186" w:rsidRPr="00AA61CB" w:rsidRDefault="00AB5C20" w:rsidP="001F2186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Documentation completed in ProSIMS file. </w:t>
      </w:r>
    </w:p>
    <w:p w:rsidR="001F2186" w:rsidRPr="00AA61CB" w:rsidRDefault="001F2186" w:rsidP="001F2186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Discharge letter sent with evaluation questionnaire; copy of letter on </w:t>
      </w:r>
      <w:r w:rsidR="00AB5C20">
        <w:rPr>
          <w:rFonts w:ascii="Calibri" w:hAnsi="Calibri"/>
          <w:szCs w:val="24"/>
        </w:rPr>
        <w:t>ProSIMS</w:t>
      </w:r>
      <w:r w:rsidRPr="00AA61CB">
        <w:rPr>
          <w:rFonts w:ascii="Calibri" w:hAnsi="Calibri"/>
          <w:szCs w:val="24"/>
        </w:rPr>
        <w:t xml:space="preserve"> file</w:t>
      </w:r>
      <w:r w:rsidR="00AB5C20">
        <w:rPr>
          <w:rFonts w:ascii="Calibri" w:hAnsi="Calibri"/>
          <w:szCs w:val="24"/>
        </w:rPr>
        <w:t>.</w:t>
      </w:r>
    </w:p>
    <w:p w:rsidR="001F2186" w:rsidRPr="00AA61CB" w:rsidRDefault="001F2186" w:rsidP="001F2186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Final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contribution details sent to administration officer.</w:t>
      </w:r>
    </w:p>
    <w:p w:rsidR="001F2186" w:rsidRPr="00AA61CB" w:rsidRDefault="00AB5C20" w:rsidP="001F2186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ProSIMS</w:t>
      </w:r>
      <w:r w:rsidR="001F2186" w:rsidRPr="00AA61CB">
        <w:rPr>
          <w:rFonts w:ascii="Calibri" w:hAnsi="Calibri"/>
          <w:szCs w:val="24"/>
        </w:rPr>
        <w:t xml:space="preserve"> file closed.</w:t>
      </w:r>
    </w:p>
    <w:p w:rsidR="001F2186" w:rsidRPr="00AA61CB" w:rsidRDefault="001F2186" w:rsidP="001F2186">
      <w:pPr>
        <w:pStyle w:val="Heading4"/>
        <w:jc w:val="both"/>
        <w:rPr>
          <w:szCs w:val="24"/>
        </w:rPr>
      </w:pPr>
    </w:p>
    <w:p w:rsidR="001F2186" w:rsidRPr="00AA61CB" w:rsidRDefault="001F2186" w:rsidP="001F2186">
      <w:pPr>
        <w:pStyle w:val="Heading4"/>
        <w:jc w:val="both"/>
        <w:rPr>
          <w:szCs w:val="24"/>
        </w:rPr>
      </w:pPr>
      <w:r w:rsidRPr="00AA61CB">
        <w:rPr>
          <w:szCs w:val="24"/>
        </w:rPr>
        <w:t>RESPONSIBILITIES</w:t>
      </w:r>
    </w:p>
    <w:p w:rsidR="00AB5C20" w:rsidRDefault="00AB5C20" w:rsidP="001F218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Leadership</w:t>
      </w:r>
    </w:p>
    <w:p w:rsidR="001F2186" w:rsidRPr="00AA61CB" w:rsidRDefault="001F2186" w:rsidP="001F218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Operational staff</w:t>
      </w:r>
    </w:p>
    <w:p w:rsidR="001F2186" w:rsidRPr="00AA61CB" w:rsidRDefault="001F2186" w:rsidP="001F218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Client</w:t>
      </w:r>
      <w:r w:rsidRPr="00AA61CB">
        <w:rPr>
          <w:rFonts w:ascii="Calibri" w:hAnsi="Calibri"/>
        </w:rPr>
        <w:t>s</w:t>
      </w:r>
    </w:p>
    <w:p w:rsidR="001F2186" w:rsidRPr="00AA61CB" w:rsidRDefault="001F2186" w:rsidP="001F2186">
      <w:pPr>
        <w:pStyle w:val="BodyText"/>
        <w:jc w:val="both"/>
        <w:rPr>
          <w:rFonts w:ascii="Calibri" w:hAnsi="Calibri"/>
          <w:szCs w:val="24"/>
        </w:rPr>
      </w:pPr>
    </w:p>
    <w:p w:rsidR="001F2186" w:rsidRPr="00AA61CB" w:rsidRDefault="001F2186" w:rsidP="001F2186">
      <w:pPr>
        <w:pStyle w:val="Heading4"/>
        <w:jc w:val="both"/>
        <w:rPr>
          <w:szCs w:val="24"/>
        </w:rPr>
      </w:pPr>
      <w:r w:rsidRPr="00AA61CB">
        <w:rPr>
          <w:szCs w:val="24"/>
        </w:rPr>
        <w:t>STANDARDS and COMPLIANCE</w:t>
      </w:r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ascii="Calibri" w:hAnsi="Calibri" w:cs="Arial"/>
          <w:i/>
          <w:spacing w:val="-3"/>
        </w:rPr>
      </w:pPr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7" w:name="_Toc273367065"/>
      <w:bookmarkStart w:id="8" w:name="_Toc273378859"/>
      <w:bookmarkStart w:id="9" w:name="_Toc278799840"/>
      <w:bookmarkStart w:id="10" w:name="_Toc315645188"/>
      <w:bookmarkStart w:id="11" w:name="_Toc315722475"/>
      <w:bookmarkStart w:id="12" w:name="_Toc316459697"/>
      <w:bookmarkStart w:id="13" w:name="_Toc327952348"/>
      <w:bookmarkStart w:id="14" w:name="_Toc350849552"/>
      <w:bookmarkStart w:id="15" w:name="_Toc373757313"/>
      <w:bookmarkStart w:id="16" w:name="_Toc374368885"/>
      <w:bookmarkStart w:id="17" w:name="_Toc398218846"/>
      <w:bookmarkStart w:id="18" w:name="_Toc414197268"/>
      <w:r w:rsidRPr="00AA61CB">
        <w:rPr>
          <w:rFonts w:ascii="Calibri" w:hAnsi="Calibri" w:cs="Arial"/>
          <w:i/>
          <w:spacing w:val="-3"/>
        </w:rPr>
        <w:t xml:space="preserve">Community Care </w:t>
      </w:r>
      <w:bookmarkEnd w:id="7"/>
      <w:bookmarkEnd w:id="8"/>
      <w:bookmarkEnd w:id="9"/>
      <w:r w:rsidRPr="00AA61CB">
        <w:rPr>
          <w:rFonts w:ascii="Calibri" w:hAnsi="Calibri" w:cs="Arial"/>
          <w:i/>
          <w:spacing w:val="-3"/>
        </w:rPr>
        <w:t>Common Standard 2.1:  Service Access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ascii="Calibri" w:hAnsi="Calibri" w:cs="Arial"/>
          <w:i/>
          <w:spacing w:val="-3"/>
        </w:rPr>
      </w:pPr>
      <w:r w:rsidRPr="00AA61CB">
        <w:rPr>
          <w:rFonts w:ascii="Calibri" w:hAnsi="Calibri" w:cs="Arial"/>
          <w:i/>
          <w:spacing w:val="-3"/>
        </w:rPr>
        <w:t>Community Care Common Standard 2.2:  Assessment</w:t>
      </w:r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ascii="Calibri" w:hAnsi="Calibri" w:cs="Arial"/>
          <w:i/>
          <w:spacing w:val="-3"/>
        </w:rPr>
      </w:pPr>
      <w:r w:rsidRPr="00AA61CB">
        <w:rPr>
          <w:rFonts w:ascii="Calibri" w:hAnsi="Calibri" w:cs="Arial"/>
          <w:i/>
          <w:spacing w:val="-3"/>
        </w:rPr>
        <w:t xml:space="preserve">Community Care Common Standard 2.4:  </w:t>
      </w:r>
      <w:r>
        <w:rPr>
          <w:rFonts w:ascii="Calibri" w:hAnsi="Calibri" w:cs="Arial"/>
          <w:i/>
          <w:spacing w:val="-3"/>
        </w:rPr>
        <w:t>Client</w:t>
      </w:r>
      <w:r w:rsidRPr="00AA61CB">
        <w:rPr>
          <w:rFonts w:ascii="Calibri" w:hAnsi="Calibri" w:cs="Arial"/>
          <w:i/>
          <w:spacing w:val="-3"/>
        </w:rPr>
        <w:t xml:space="preserve"> Reassessment</w:t>
      </w:r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19" w:name="_Toc273367066"/>
      <w:bookmarkStart w:id="20" w:name="_Toc273378860"/>
      <w:bookmarkStart w:id="21" w:name="_Toc278799841"/>
      <w:bookmarkStart w:id="22" w:name="_Toc315645189"/>
      <w:bookmarkStart w:id="23" w:name="_Toc315722476"/>
      <w:bookmarkStart w:id="24" w:name="_Toc316459698"/>
      <w:bookmarkStart w:id="25" w:name="_Toc327952349"/>
      <w:bookmarkStart w:id="26" w:name="_Toc350849553"/>
      <w:bookmarkStart w:id="27" w:name="_Toc373757314"/>
      <w:bookmarkStart w:id="28" w:name="_Toc374368886"/>
      <w:bookmarkStart w:id="29" w:name="_Toc398218847"/>
      <w:bookmarkStart w:id="30" w:name="_Toc414197269"/>
      <w:r w:rsidRPr="00AA61CB">
        <w:rPr>
          <w:rFonts w:ascii="Calibri" w:hAnsi="Calibri" w:cs="Arial"/>
          <w:i/>
          <w:spacing w:val="-3"/>
        </w:rPr>
        <w:t xml:space="preserve">Community Care </w:t>
      </w:r>
      <w:bookmarkEnd w:id="19"/>
      <w:bookmarkEnd w:id="20"/>
      <w:bookmarkEnd w:id="21"/>
      <w:r w:rsidRPr="00AA61CB">
        <w:rPr>
          <w:rFonts w:ascii="Calibri" w:hAnsi="Calibri" w:cs="Arial"/>
          <w:i/>
          <w:spacing w:val="-3"/>
        </w:rPr>
        <w:t xml:space="preserve">Common Standard 2.5:  </w:t>
      </w:r>
      <w:r>
        <w:rPr>
          <w:rFonts w:ascii="Calibri" w:hAnsi="Calibri" w:cs="Arial"/>
          <w:i/>
          <w:spacing w:val="-3"/>
        </w:rPr>
        <w:t>Client</w:t>
      </w:r>
      <w:r w:rsidRPr="00AA61CB">
        <w:rPr>
          <w:rFonts w:ascii="Calibri" w:hAnsi="Calibri" w:cs="Arial"/>
          <w:i/>
          <w:spacing w:val="-3"/>
        </w:rPr>
        <w:t xml:space="preserve"> Referral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ascii="Calibri" w:hAnsi="Calibri" w:cs="Arial"/>
          <w:i/>
          <w:spacing w:val="-3"/>
        </w:rPr>
      </w:pPr>
      <w:r w:rsidRPr="00AA61CB">
        <w:rPr>
          <w:rFonts w:ascii="Calibri" w:hAnsi="Calibri" w:cs="Arial"/>
          <w:i/>
          <w:spacing w:val="-3"/>
        </w:rPr>
        <w:t>Community Care Common Standard 3.1:  Information Provision</w:t>
      </w:r>
    </w:p>
    <w:p w:rsidR="001F2186" w:rsidRPr="00AA61CB" w:rsidRDefault="001F2186" w:rsidP="001F218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ascii="Calibri" w:hAnsi="Calibri" w:cs="Arial"/>
          <w:i/>
          <w:spacing w:val="-3"/>
        </w:rPr>
      </w:pPr>
      <w:r w:rsidRPr="00AA61CB">
        <w:rPr>
          <w:rFonts w:ascii="Calibri" w:hAnsi="Calibri" w:cs="Arial"/>
          <w:i/>
          <w:spacing w:val="-3"/>
        </w:rPr>
        <w:t>Community Care Common Standard 3.5:  Independence</w:t>
      </w:r>
    </w:p>
    <w:p w:rsidR="00AB5C20" w:rsidRPr="00AA61CB" w:rsidRDefault="00AB5C20" w:rsidP="00AB5C20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rFonts w:ascii="Calibri" w:hAnsi="Calibri"/>
          <w:i/>
        </w:rPr>
      </w:pPr>
      <w:bookmarkStart w:id="31" w:name="_Toc398218848"/>
      <w:bookmarkStart w:id="32" w:name="_Toc414197270"/>
      <w:r>
        <w:rPr>
          <w:rFonts w:ascii="Calibri" w:hAnsi="Calibri"/>
          <w:i/>
        </w:rPr>
        <w:t>Disability Service Standard 1: Rights</w:t>
      </w:r>
      <w:bookmarkEnd w:id="31"/>
      <w:bookmarkEnd w:id="32"/>
    </w:p>
    <w:p w:rsidR="001F2186" w:rsidRDefault="001F2186" w:rsidP="001F2186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ascii="Calibri" w:hAnsi="Calibri"/>
          <w:i/>
        </w:rPr>
      </w:pPr>
      <w:r>
        <w:rPr>
          <w:rFonts w:ascii="Calibri" w:hAnsi="Calibri"/>
          <w:i/>
        </w:rPr>
        <w:t>Disability Service Standard 2: Participation and Inclusion</w:t>
      </w:r>
    </w:p>
    <w:p w:rsidR="00AB5C20" w:rsidRPr="00AA61CB" w:rsidRDefault="00AB5C20" w:rsidP="00AB5C20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ascii="Calibri" w:hAnsi="Calibri"/>
          <w:i/>
        </w:rPr>
      </w:pPr>
      <w:r>
        <w:rPr>
          <w:rFonts w:ascii="Calibri" w:hAnsi="Calibri"/>
          <w:i/>
        </w:rPr>
        <w:t>Disability Service Standard 3: Individual Outcomes</w:t>
      </w:r>
    </w:p>
    <w:p w:rsidR="001F2186" w:rsidRPr="00AA61CB" w:rsidRDefault="001F2186" w:rsidP="001F2186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ascii="Calibri" w:hAnsi="Calibri"/>
          <w:i/>
        </w:rPr>
      </w:pPr>
      <w:r w:rsidRPr="00AA61CB">
        <w:rPr>
          <w:rFonts w:ascii="Calibri" w:hAnsi="Calibri"/>
          <w:i/>
        </w:rPr>
        <w:t xml:space="preserve">Disability Service Standard 5: </w:t>
      </w:r>
      <w:r w:rsidR="00AB5C20">
        <w:rPr>
          <w:rFonts w:ascii="Calibri" w:hAnsi="Calibri"/>
          <w:i/>
        </w:rPr>
        <w:t>Service Access</w:t>
      </w:r>
    </w:p>
    <w:p w:rsidR="001F2186" w:rsidRPr="00AA61CB" w:rsidRDefault="001F2186" w:rsidP="001F2186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rFonts w:ascii="Calibri" w:hAnsi="Calibri"/>
          <w:i/>
        </w:rPr>
      </w:pPr>
      <w:bookmarkStart w:id="33" w:name="_Toc398218849"/>
      <w:bookmarkStart w:id="34" w:name="_Toc414197271"/>
      <w:r>
        <w:rPr>
          <w:rFonts w:ascii="Calibri" w:hAnsi="Calibri"/>
          <w:i/>
        </w:rPr>
        <w:t>Disability Service Standard 6: Service Management</w:t>
      </w:r>
      <w:bookmarkEnd w:id="33"/>
      <w:bookmarkEnd w:id="34"/>
    </w:p>
    <w:p w:rsidR="001F2186" w:rsidRPr="00AA61CB" w:rsidRDefault="001F2186" w:rsidP="001F2186">
      <w:pPr>
        <w:rPr>
          <w:rFonts w:ascii="Calibri" w:hAnsi="Calibri"/>
        </w:rPr>
      </w:pPr>
    </w:p>
    <w:p w:rsidR="001F2186" w:rsidRPr="00AA61CB" w:rsidRDefault="001F2186" w:rsidP="001F218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 w:rsidRPr="00AA61CB">
        <w:rPr>
          <w:rFonts w:ascii="Calibri" w:hAnsi="Calibri"/>
          <w:b/>
          <w:spacing w:val="-3"/>
        </w:rPr>
        <w:t>OTHER RELEVANT POLICIES</w:t>
      </w:r>
    </w:p>
    <w:p w:rsidR="001F2186" w:rsidRPr="00AA61CB" w:rsidRDefault="001F2186" w:rsidP="001F218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P3 Planning</w:t>
      </w:r>
      <w:r w:rsidR="00AB5C20">
        <w:rPr>
          <w:rFonts w:ascii="Calibri" w:hAnsi="Calibri"/>
          <w:b/>
          <w:spacing w:val="-3"/>
        </w:rPr>
        <w:t xml:space="preserve"> and Support</w:t>
      </w:r>
    </w:p>
    <w:p w:rsidR="001F2186" w:rsidRPr="00AA61CB" w:rsidRDefault="001F2186" w:rsidP="001F218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 xml:space="preserve">P4 Implementing the </w:t>
      </w:r>
      <w:r w:rsidR="00AB5C20">
        <w:rPr>
          <w:rFonts w:ascii="Calibri" w:hAnsi="Calibri"/>
          <w:b/>
          <w:spacing w:val="-3"/>
        </w:rPr>
        <w:t>Client Support Plan</w:t>
      </w:r>
    </w:p>
    <w:p w:rsidR="001F2186" w:rsidRPr="00AA61CB" w:rsidRDefault="001F2186" w:rsidP="001F218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P5 Monitoring</w:t>
      </w:r>
      <w:r w:rsidR="00AB5C20">
        <w:rPr>
          <w:rFonts w:ascii="Calibri" w:hAnsi="Calibri"/>
          <w:b/>
          <w:spacing w:val="-3"/>
        </w:rPr>
        <w:t xml:space="preserve"> Client Support Plan</w:t>
      </w:r>
      <w:r w:rsidR="002079B0">
        <w:rPr>
          <w:rFonts w:ascii="Calibri" w:hAnsi="Calibri"/>
          <w:b/>
          <w:spacing w:val="-3"/>
        </w:rPr>
        <w:t>s</w:t>
      </w:r>
      <w:r w:rsidR="008651F7">
        <w:rPr>
          <w:rFonts w:ascii="Calibri" w:hAnsi="Calibri"/>
          <w:b/>
          <w:spacing w:val="-3"/>
        </w:rPr>
        <w:t xml:space="preserve"> and Service Delivery </w:t>
      </w:r>
    </w:p>
    <w:p w:rsidR="00BA0ABE" w:rsidRDefault="00BA0ABE"/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08A7DAC"/>
    <w:lvl w:ilvl="0">
      <w:start w:val="1"/>
      <w:numFmt w:val="bullet"/>
      <w:pStyle w:val="ListBullet2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61E96556"/>
    <w:multiLevelType w:val="hybridMultilevel"/>
    <w:tmpl w:val="5C720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F"/>
    <w:rsid w:val="000079D1"/>
    <w:rsid w:val="00011FD8"/>
    <w:rsid w:val="000369D5"/>
    <w:rsid w:val="000551B4"/>
    <w:rsid w:val="00057136"/>
    <w:rsid w:val="000D51EB"/>
    <w:rsid w:val="000E2931"/>
    <w:rsid w:val="0010304A"/>
    <w:rsid w:val="00122909"/>
    <w:rsid w:val="00182978"/>
    <w:rsid w:val="00194C91"/>
    <w:rsid w:val="001F2186"/>
    <w:rsid w:val="002079B0"/>
    <w:rsid w:val="002738E8"/>
    <w:rsid w:val="002A0B5E"/>
    <w:rsid w:val="002B65CF"/>
    <w:rsid w:val="00311585"/>
    <w:rsid w:val="003211B1"/>
    <w:rsid w:val="0035247A"/>
    <w:rsid w:val="00364782"/>
    <w:rsid w:val="003A7A7F"/>
    <w:rsid w:val="00402D5F"/>
    <w:rsid w:val="004402FF"/>
    <w:rsid w:val="00470232"/>
    <w:rsid w:val="004D4FC7"/>
    <w:rsid w:val="005A0DC6"/>
    <w:rsid w:val="005E43C3"/>
    <w:rsid w:val="00645D29"/>
    <w:rsid w:val="00650D8E"/>
    <w:rsid w:val="006949BE"/>
    <w:rsid w:val="006B6EF5"/>
    <w:rsid w:val="007014AB"/>
    <w:rsid w:val="007179B3"/>
    <w:rsid w:val="0072458A"/>
    <w:rsid w:val="0072687E"/>
    <w:rsid w:val="0074357C"/>
    <w:rsid w:val="007653D6"/>
    <w:rsid w:val="0078475C"/>
    <w:rsid w:val="008068AE"/>
    <w:rsid w:val="00812798"/>
    <w:rsid w:val="008155F5"/>
    <w:rsid w:val="008651F7"/>
    <w:rsid w:val="00941D95"/>
    <w:rsid w:val="009C53CF"/>
    <w:rsid w:val="00A17F05"/>
    <w:rsid w:val="00AB5C20"/>
    <w:rsid w:val="00AD5650"/>
    <w:rsid w:val="00AF32F7"/>
    <w:rsid w:val="00B50FE1"/>
    <w:rsid w:val="00B96792"/>
    <w:rsid w:val="00BA0ABE"/>
    <w:rsid w:val="00BC34E9"/>
    <w:rsid w:val="00BF0D04"/>
    <w:rsid w:val="00BF42DA"/>
    <w:rsid w:val="00C21908"/>
    <w:rsid w:val="00D4635A"/>
    <w:rsid w:val="00DA6E8B"/>
    <w:rsid w:val="00DF1995"/>
    <w:rsid w:val="00E54CDC"/>
    <w:rsid w:val="00E60D3B"/>
    <w:rsid w:val="00F32C62"/>
    <w:rsid w:val="00F56070"/>
    <w:rsid w:val="00F6023F"/>
    <w:rsid w:val="00F81548"/>
    <w:rsid w:val="00F846A6"/>
    <w:rsid w:val="00F97033"/>
    <w:rsid w:val="00FB1A37"/>
    <w:rsid w:val="00FB467C"/>
    <w:rsid w:val="00FD069E"/>
    <w:rsid w:val="00FD4BB6"/>
    <w:rsid w:val="00FE311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1DA6D3-9A1E-46CB-88AB-6F243D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F2186"/>
    <w:pPr>
      <w:keepNext/>
      <w:widowControl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60" w:after="12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186"/>
    <w:pPr>
      <w:keepNext/>
      <w:tabs>
        <w:tab w:val="left" w:pos="990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F2186"/>
    <w:rPr>
      <w:rFonts w:ascii="Arial" w:eastAsia="Times New Roman" w:hAnsi="Arial" w:cs="Times New Roman"/>
      <w:b/>
      <w:sz w:val="32"/>
      <w:szCs w:val="20"/>
      <w:shd w:val="clear" w:color="auto" w:fill="C0C0C0"/>
    </w:rPr>
  </w:style>
  <w:style w:type="character" w:customStyle="1" w:styleId="Heading4Char">
    <w:name w:val="Heading 4 Char"/>
    <w:basedOn w:val="DefaultParagraphFont"/>
    <w:link w:val="Heading4"/>
    <w:uiPriority w:val="99"/>
    <w:rsid w:val="001F2186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1"/>
    <w:uiPriority w:val="99"/>
    <w:rsid w:val="001F2186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1F2186"/>
  </w:style>
  <w:style w:type="paragraph" w:styleId="ListBullet2">
    <w:name w:val="List Bullet 2"/>
    <w:basedOn w:val="BodyText"/>
    <w:uiPriority w:val="99"/>
    <w:rsid w:val="001F2186"/>
    <w:pPr>
      <w:numPr>
        <w:numId w:val="1"/>
      </w:numPr>
      <w:tabs>
        <w:tab w:val="clear" w:pos="660"/>
        <w:tab w:val="num" w:pos="360"/>
      </w:tabs>
      <w:ind w:left="0" w:firstLine="0"/>
    </w:pPr>
  </w:style>
  <w:style w:type="character" w:customStyle="1" w:styleId="BodyTextChar1">
    <w:name w:val="Body Text Char1"/>
    <w:link w:val="BodyText"/>
    <w:uiPriority w:val="99"/>
    <w:locked/>
    <w:rsid w:val="001F218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Patricia Smith</cp:lastModifiedBy>
  <cp:revision>2</cp:revision>
  <dcterms:created xsi:type="dcterms:W3CDTF">2018-01-04T01:26:00Z</dcterms:created>
  <dcterms:modified xsi:type="dcterms:W3CDTF">2018-01-04T01:26:00Z</dcterms:modified>
</cp:coreProperties>
</file>