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48" w:rsidRPr="00355658" w:rsidRDefault="00F81548" w:rsidP="00F81548">
      <w:pPr>
        <w:pStyle w:val="Heading2"/>
        <w:shd w:val="clear" w:color="auto" w:fill="auto"/>
        <w:jc w:val="left"/>
        <w:rPr>
          <w:rFonts w:asciiTheme="minorHAnsi" w:hAnsiTheme="minorHAnsi"/>
        </w:rPr>
      </w:pPr>
      <w:bookmarkStart w:id="0" w:name="_Toc103073584"/>
      <w:bookmarkStart w:id="1" w:name="_Toc187571292"/>
      <w:bookmarkStart w:id="2" w:name="_Toc278799712"/>
      <w:bookmarkStart w:id="3" w:name="_Toc315645074"/>
      <w:bookmarkStart w:id="4" w:name="_Toc414197176"/>
      <w:bookmarkStart w:id="5" w:name="_GoBack"/>
      <w:bookmarkEnd w:id="5"/>
      <w:r w:rsidRPr="00355658">
        <w:rPr>
          <w:rFonts w:asciiTheme="minorHAnsi" w:hAnsiTheme="minorHAnsi"/>
        </w:rPr>
        <w:t>S15:  EMERGENCY POLICY AND PROCEDURES</w:t>
      </w:r>
      <w:bookmarkEnd w:id="0"/>
      <w:bookmarkEnd w:id="1"/>
      <w:bookmarkEnd w:id="2"/>
      <w:bookmarkEnd w:id="3"/>
      <w:bookmarkEnd w:id="4"/>
    </w:p>
    <w:p w:rsidR="00F81548" w:rsidRPr="006C7CFA" w:rsidRDefault="00F81548" w:rsidP="00F81548">
      <w:pPr>
        <w:pStyle w:val="Heading4"/>
        <w:jc w:val="both"/>
        <w:rPr>
          <w:rFonts w:asciiTheme="minorHAnsi" w:hAnsiTheme="minorHAnsi"/>
        </w:rPr>
      </w:pPr>
      <w:r w:rsidRPr="006C7CFA">
        <w:rPr>
          <w:rFonts w:asciiTheme="minorHAnsi" w:hAnsiTheme="minorHAnsi"/>
        </w:rPr>
        <w:t>POLICY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F81548" w:rsidRPr="006C7CFA" w:rsidTr="00040E82">
        <w:tc>
          <w:tcPr>
            <w:tcW w:w="9286" w:type="dxa"/>
            <w:tcBorders>
              <w:top w:val="single" w:sz="4" w:space="0" w:color="auto"/>
              <w:bottom w:val="single" w:sz="4" w:space="0" w:color="auto"/>
            </w:tcBorders>
            <w:shd w:val="clear" w:color="auto" w:fill="auto"/>
          </w:tcPr>
          <w:p w:rsidR="00F81548" w:rsidRPr="006C7CFA" w:rsidRDefault="00F81548" w:rsidP="00040E82">
            <w:pPr>
              <w:spacing w:before="120" w:after="120"/>
              <w:jc w:val="both"/>
            </w:pPr>
            <w:r w:rsidRPr="006C7CFA">
              <w:t xml:space="preserve">In an emergency staff shall assess the situation and determine an appropriate action plan.  Staff shall always act in the best interests of </w:t>
            </w:r>
            <w:r w:rsidR="00C33E3D">
              <w:t>the client</w:t>
            </w:r>
            <w:r w:rsidRPr="006C7CFA">
              <w:t xml:space="preserve"> involved in the emergency situation. A common sense approach will ensure that the situation is managed in the best possible way; this might be immediate medical assistance or other emergency assistance.</w:t>
            </w:r>
          </w:p>
          <w:p w:rsidR="00F81548" w:rsidRPr="006C7CFA" w:rsidRDefault="00F81548" w:rsidP="00040E82">
            <w:pPr>
              <w:spacing w:before="120" w:after="120"/>
              <w:jc w:val="both"/>
            </w:pPr>
            <w:r w:rsidRPr="006C7CFA">
              <w:t>Some examples of emergencies are:</w:t>
            </w:r>
          </w:p>
          <w:p w:rsidR="00F81548" w:rsidRPr="00C33E3D" w:rsidRDefault="00F81548" w:rsidP="00F81548">
            <w:pPr>
              <w:pStyle w:val="ListBullet2"/>
              <w:tabs>
                <w:tab w:val="clear" w:pos="360"/>
                <w:tab w:val="num" w:pos="660"/>
              </w:tabs>
              <w:spacing w:before="120"/>
              <w:ind w:left="660" w:hanging="360"/>
              <w:jc w:val="both"/>
              <w:rPr>
                <w:rFonts w:asciiTheme="minorHAnsi" w:eastAsiaTheme="minorHAnsi" w:hAnsiTheme="minorHAnsi" w:cstheme="minorBidi"/>
                <w:sz w:val="22"/>
                <w:szCs w:val="22"/>
              </w:rPr>
            </w:pPr>
            <w:r w:rsidRPr="00C33E3D">
              <w:rPr>
                <w:rFonts w:asciiTheme="minorHAnsi" w:eastAsiaTheme="minorHAnsi" w:hAnsiTheme="minorHAnsi" w:cstheme="minorBidi"/>
                <w:sz w:val="22"/>
                <w:szCs w:val="22"/>
              </w:rPr>
              <w:t>a medical crisis</w:t>
            </w:r>
          </w:p>
          <w:p w:rsidR="00F81548" w:rsidRPr="00C33E3D" w:rsidRDefault="00F81548" w:rsidP="00F81548">
            <w:pPr>
              <w:pStyle w:val="ListBullet2"/>
              <w:tabs>
                <w:tab w:val="clear" w:pos="360"/>
                <w:tab w:val="num" w:pos="660"/>
              </w:tabs>
              <w:spacing w:before="120"/>
              <w:ind w:left="660" w:hanging="360"/>
              <w:jc w:val="both"/>
              <w:rPr>
                <w:rFonts w:asciiTheme="minorHAnsi" w:eastAsiaTheme="minorHAnsi" w:hAnsiTheme="minorHAnsi" w:cstheme="minorBidi"/>
                <w:sz w:val="22"/>
                <w:szCs w:val="22"/>
              </w:rPr>
            </w:pPr>
            <w:r w:rsidRPr="00C33E3D">
              <w:rPr>
                <w:rFonts w:asciiTheme="minorHAnsi" w:eastAsiaTheme="minorHAnsi" w:hAnsiTheme="minorHAnsi" w:cstheme="minorBidi"/>
                <w:sz w:val="22"/>
                <w:szCs w:val="22"/>
              </w:rPr>
              <w:t xml:space="preserve">challenging behaviour by </w:t>
            </w:r>
          </w:p>
          <w:p w:rsidR="00F81548" w:rsidRPr="006C7CFA" w:rsidRDefault="00F81548" w:rsidP="00F81548">
            <w:pPr>
              <w:pStyle w:val="ListBullet2"/>
              <w:tabs>
                <w:tab w:val="clear" w:pos="360"/>
                <w:tab w:val="num" w:pos="660"/>
              </w:tabs>
              <w:spacing w:before="120"/>
              <w:ind w:left="660" w:hanging="360"/>
              <w:jc w:val="both"/>
              <w:rPr>
                <w:rFonts w:asciiTheme="minorHAnsi" w:hAnsiTheme="minorHAnsi"/>
              </w:rPr>
            </w:pPr>
            <w:r w:rsidRPr="00C33E3D">
              <w:rPr>
                <w:rFonts w:asciiTheme="minorHAnsi" w:eastAsiaTheme="minorHAnsi" w:hAnsiTheme="minorHAnsi" w:cstheme="minorBidi"/>
                <w:sz w:val="22"/>
                <w:szCs w:val="22"/>
              </w:rPr>
              <w:t>emergency relating to the premises e.g. fire, flood, storm, etc.</w:t>
            </w:r>
          </w:p>
        </w:tc>
      </w:tr>
    </w:tbl>
    <w:p w:rsidR="00F81548" w:rsidRPr="006C7CFA" w:rsidRDefault="00F81548" w:rsidP="00F81548">
      <w:pPr>
        <w:pStyle w:val="Heading4"/>
        <w:jc w:val="both"/>
        <w:rPr>
          <w:rFonts w:asciiTheme="minorHAnsi" w:hAnsiTheme="minorHAnsi"/>
        </w:rPr>
      </w:pPr>
      <w:bookmarkStart w:id="6" w:name="_Toc103073585"/>
      <w:bookmarkStart w:id="7" w:name="_Toc187571293"/>
    </w:p>
    <w:p w:rsidR="00F81548" w:rsidRPr="006C7CFA" w:rsidRDefault="00F81548" w:rsidP="00F81548">
      <w:pPr>
        <w:pStyle w:val="Heading4"/>
        <w:jc w:val="both"/>
        <w:rPr>
          <w:rFonts w:asciiTheme="minorHAnsi" w:hAnsiTheme="minorHAnsi"/>
        </w:rPr>
      </w:pPr>
      <w:r w:rsidRPr="006C7CFA">
        <w:rPr>
          <w:rFonts w:asciiTheme="minorHAnsi" w:hAnsiTheme="minorHAnsi"/>
        </w:rPr>
        <w:t>PROCEDURE</w:t>
      </w:r>
    </w:p>
    <w:p w:rsidR="00F81548" w:rsidRPr="00C33E3D" w:rsidRDefault="00F81548" w:rsidP="00F81548">
      <w:pPr>
        <w:pStyle w:val="Heading3"/>
        <w:jc w:val="both"/>
        <w:rPr>
          <w:rFonts w:asciiTheme="minorHAnsi" w:hAnsiTheme="minorHAnsi" w:cs="Times New Roman"/>
          <w:bCs w:val="0"/>
          <w:sz w:val="24"/>
        </w:rPr>
      </w:pPr>
      <w:bookmarkStart w:id="8" w:name="_Toc315645075"/>
      <w:bookmarkStart w:id="9" w:name="_Toc315722362"/>
      <w:bookmarkStart w:id="10" w:name="_Toc316459583"/>
      <w:bookmarkStart w:id="11" w:name="_Toc327952231"/>
      <w:bookmarkStart w:id="12" w:name="_Toc350849435"/>
      <w:bookmarkStart w:id="13" w:name="_Toc388548826"/>
      <w:bookmarkStart w:id="14" w:name="_Toc398218748"/>
      <w:bookmarkStart w:id="15" w:name="_Toc414193838"/>
      <w:bookmarkStart w:id="16" w:name="_Toc414197177"/>
      <w:r w:rsidRPr="00C33E3D">
        <w:rPr>
          <w:rFonts w:asciiTheme="minorHAnsi" w:hAnsiTheme="minorHAnsi" w:cs="Times New Roman"/>
          <w:bCs w:val="0"/>
          <w:sz w:val="24"/>
        </w:rPr>
        <w:t>Take action in an emergency</w:t>
      </w:r>
      <w:bookmarkEnd w:id="6"/>
      <w:bookmarkEnd w:id="7"/>
      <w:bookmarkEnd w:id="8"/>
      <w:bookmarkEnd w:id="9"/>
      <w:bookmarkEnd w:id="10"/>
      <w:bookmarkEnd w:id="11"/>
      <w:bookmarkEnd w:id="12"/>
      <w:bookmarkEnd w:id="13"/>
      <w:bookmarkEnd w:id="14"/>
      <w:bookmarkEnd w:id="15"/>
      <w:bookmarkEnd w:id="16"/>
    </w:p>
    <w:p w:rsidR="00F81548" w:rsidRPr="006C7CFA" w:rsidRDefault="00F81548" w:rsidP="00F81548">
      <w:pPr>
        <w:pStyle w:val="ListBullet2"/>
        <w:tabs>
          <w:tab w:val="clear" w:pos="360"/>
          <w:tab w:val="num" w:pos="660"/>
        </w:tabs>
        <w:ind w:left="660" w:hanging="360"/>
        <w:jc w:val="both"/>
        <w:rPr>
          <w:rFonts w:asciiTheme="minorHAnsi" w:hAnsiTheme="minorHAnsi"/>
        </w:rPr>
      </w:pPr>
      <w:r w:rsidRPr="006C7CFA">
        <w:rPr>
          <w:rFonts w:asciiTheme="minorHAnsi" w:hAnsiTheme="minorHAnsi"/>
        </w:rPr>
        <w:t xml:space="preserve">In a medical emergency requiring immediate action, </w:t>
      </w:r>
      <w:r w:rsidR="00C33E3D">
        <w:rPr>
          <w:rFonts w:asciiTheme="minorHAnsi" w:hAnsiTheme="minorHAnsi"/>
        </w:rPr>
        <w:t xml:space="preserve">the staff member is to contact emergency services and inform their direct supervisor and the </w:t>
      </w:r>
      <w:r w:rsidR="00E92A11">
        <w:rPr>
          <w:rFonts w:asciiTheme="minorHAnsi" w:hAnsiTheme="minorHAnsi"/>
        </w:rPr>
        <w:t>individuals’ emergency contact</w:t>
      </w:r>
      <w:r w:rsidRPr="006C7CFA">
        <w:rPr>
          <w:rFonts w:asciiTheme="minorHAnsi" w:hAnsiTheme="minorHAnsi"/>
        </w:rPr>
        <w:t>.</w:t>
      </w:r>
      <w:r w:rsidRPr="006C7CFA">
        <w:rPr>
          <w:rFonts w:asciiTheme="minorHAnsi" w:hAnsiTheme="minorHAnsi"/>
        </w:rPr>
        <w:tab/>
      </w:r>
    </w:p>
    <w:p w:rsidR="00C33E3D" w:rsidRPr="002A3835" w:rsidRDefault="00E92A11" w:rsidP="002A3835">
      <w:pPr>
        <w:pStyle w:val="ListBullet2"/>
        <w:tabs>
          <w:tab w:val="clear" w:pos="360"/>
          <w:tab w:val="num" w:pos="660"/>
        </w:tabs>
        <w:ind w:left="660" w:hanging="360"/>
        <w:jc w:val="both"/>
        <w:rPr>
          <w:rFonts w:asciiTheme="minorHAnsi" w:hAnsiTheme="minorHAnsi"/>
        </w:rPr>
      </w:pPr>
      <w:r>
        <w:rPr>
          <w:rFonts w:asciiTheme="minorHAnsi" w:hAnsiTheme="minorHAnsi"/>
        </w:rPr>
        <w:t>In the event that a staff member feels threatened, they are to</w:t>
      </w:r>
      <w:r w:rsidR="00C33E3D">
        <w:rPr>
          <w:rFonts w:asciiTheme="minorHAnsi" w:hAnsiTheme="minorHAnsi"/>
        </w:rPr>
        <w:t xml:space="preserve"> remove themselves from the situation, contact emergency services and notify their supervisor</w:t>
      </w:r>
      <w:r w:rsidR="00F81548" w:rsidRPr="006C7CFA">
        <w:rPr>
          <w:rFonts w:asciiTheme="minorHAnsi" w:hAnsiTheme="minorHAnsi"/>
        </w:rPr>
        <w:t>.</w:t>
      </w:r>
      <w:r>
        <w:rPr>
          <w:rFonts w:asciiTheme="minorHAnsi" w:hAnsiTheme="minorHAnsi"/>
        </w:rPr>
        <w:t xml:space="preserve"> </w:t>
      </w:r>
      <w:r w:rsidRPr="002A3835">
        <w:rPr>
          <w:rFonts w:asciiTheme="minorHAnsi" w:hAnsiTheme="minorHAnsi"/>
        </w:rPr>
        <w:t>Self</w:t>
      </w:r>
      <w:r w:rsidR="00C33E3D" w:rsidRPr="002A3835">
        <w:rPr>
          <w:rFonts w:asciiTheme="minorHAnsi" w:hAnsiTheme="minorHAnsi"/>
        </w:rPr>
        <w:t>-protective measures</w:t>
      </w:r>
      <w:r w:rsidRPr="002A3835">
        <w:rPr>
          <w:rFonts w:asciiTheme="minorHAnsi" w:hAnsiTheme="minorHAnsi"/>
        </w:rPr>
        <w:t xml:space="preserve"> are to be </w:t>
      </w:r>
      <w:r w:rsidR="002A3835" w:rsidRPr="002A3835">
        <w:rPr>
          <w:rFonts w:asciiTheme="minorHAnsi" w:hAnsiTheme="minorHAnsi"/>
        </w:rPr>
        <w:t>used</w:t>
      </w:r>
      <w:r w:rsidRPr="002A3835">
        <w:rPr>
          <w:rFonts w:asciiTheme="minorHAnsi" w:hAnsiTheme="minorHAnsi"/>
        </w:rPr>
        <w:t xml:space="preserve"> in any event where a s</w:t>
      </w:r>
      <w:r w:rsidR="002A3835" w:rsidRPr="002A3835">
        <w:rPr>
          <w:rFonts w:asciiTheme="minorHAnsi" w:hAnsiTheme="minorHAnsi"/>
        </w:rPr>
        <w:t xml:space="preserve">taff member is the victim of violent behaviour. </w:t>
      </w:r>
    </w:p>
    <w:p w:rsidR="00F81548" w:rsidRPr="006C7CFA" w:rsidRDefault="00F81548" w:rsidP="00F81548">
      <w:pPr>
        <w:pStyle w:val="ListBullet2"/>
        <w:tabs>
          <w:tab w:val="clear" w:pos="360"/>
          <w:tab w:val="num" w:pos="660"/>
        </w:tabs>
        <w:ind w:left="660" w:hanging="360"/>
        <w:jc w:val="both"/>
        <w:rPr>
          <w:rFonts w:asciiTheme="minorHAnsi" w:hAnsiTheme="minorHAnsi"/>
        </w:rPr>
      </w:pPr>
      <w:r w:rsidRPr="006C7CFA">
        <w:rPr>
          <w:rFonts w:asciiTheme="minorHAnsi" w:hAnsiTheme="minorHAnsi"/>
        </w:rPr>
        <w:t xml:space="preserve">If a </w:t>
      </w:r>
      <w:r w:rsidR="00C33E3D">
        <w:rPr>
          <w:rFonts w:asciiTheme="minorHAnsi" w:hAnsiTheme="minorHAnsi"/>
        </w:rPr>
        <w:t>client</w:t>
      </w:r>
      <w:r w:rsidRPr="006C7CFA">
        <w:rPr>
          <w:rFonts w:asciiTheme="minorHAnsi" w:hAnsiTheme="minorHAnsi"/>
        </w:rPr>
        <w:t xml:space="preserve"> is attempting to injure themselves</w:t>
      </w:r>
      <w:r w:rsidR="00C33E3D">
        <w:rPr>
          <w:rFonts w:asciiTheme="minorHAnsi" w:hAnsiTheme="minorHAnsi"/>
        </w:rPr>
        <w:t>, the staff member is to contact emergency services.</w:t>
      </w:r>
    </w:p>
    <w:p w:rsidR="00407796" w:rsidRPr="006C7CFA" w:rsidRDefault="00F81548" w:rsidP="00407796">
      <w:pPr>
        <w:pStyle w:val="ListBullet2"/>
        <w:tabs>
          <w:tab w:val="clear" w:pos="360"/>
          <w:tab w:val="num" w:pos="660"/>
        </w:tabs>
        <w:ind w:left="660" w:hanging="360"/>
        <w:jc w:val="both"/>
        <w:rPr>
          <w:rFonts w:asciiTheme="minorHAnsi" w:hAnsiTheme="minorHAnsi"/>
        </w:rPr>
      </w:pPr>
      <w:r w:rsidRPr="006C7CFA">
        <w:rPr>
          <w:rFonts w:asciiTheme="minorHAnsi" w:hAnsiTheme="minorHAnsi"/>
        </w:rPr>
        <w:t xml:space="preserve">If there is violence that cannot be contained, </w:t>
      </w:r>
      <w:r w:rsidR="00407796">
        <w:rPr>
          <w:rFonts w:asciiTheme="minorHAnsi" w:hAnsiTheme="minorHAnsi"/>
        </w:rPr>
        <w:t>the staff member is to contact emergency services.</w:t>
      </w:r>
    </w:p>
    <w:p w:rsidR="00F81548" w:rsidRPr="006C7CFA" w:rsidRDefault="00F81548" w:rsidP="00F81548">
      <w:pPr>
        <w:pStyle w:val="ListBullet2"/>
        <w:tabs>
          <w:tab w:val="clear" w:pos="360"/>
          <w:tab w:val="num" w:pos="660"/>
        </w:tabs>
        <w:ind w:left="660" w:hanging="360"/>
        <w:jc w:val="both"/>
        <w:rPr>
          <w:rFonts w:asciiTheme="minorHAnsi" w:hAnsiTheme="minorHAnsi"/>
          <w:strike/>
        </w:rPr>
      </w:pPr>
      <w:r w:rsidRPr="006C7CFA">
        <w:rPr>
          <w:rFonts w:asciiTheme="minorHAnsi" w:hAnsiTheme="minorHAnsi"/>
        </w:rPr>
        <w:t xml:space="preserve">If there is no violence, but the situation is untenable for the carer or worker, call the </w:t>
      </w:r>
      <w:r>
        <w:rPr>
          <w:rFonts w:asciiTheme="minorHAnsi" w:hAnsiTheme="minorHAnsi"/>
        </w:rPr>
        <w:t xml:space="preserve">Community Gateway </w:t>
      </w:r>
      <w:r w:rsidRPr="006C7CFA">
        <w:rPr>
          <w:rFonts w:asciiTheme="minorHAnsi" w:hAnsiTheme="minorHAnsi"/>
        </w:rPr>
        <w:t>office d</w:t>
      </w:r>
      <w:r>
        <w:rPr>
          <w:rFonts w:asciiTheme="minorHAnsi" w:hAnsiTheme="minorHAnsi"/>
        </w:rPr>
        <w:t xml:space="preserve">uring office hours for support.  </w:t>
      </w:r>
      <w:r w:rsidRPr="006C7CFA">
        <w:rPr>
          <w:rFonts w:asciiTheme="minorHAnsi" w:hAnsiTheme="minorHAnsi"/>
        </w:rPr>
        <w:t xml:space="preserve">After hours, call emergency services to deal with the situation and report to </w:t>
      </w:r>
      <w:r>
        <w:rPr>
          <w:rFonts w:asciiTheme="minorHAnsi" w:hAnsiTheme="minorHAnsi"/>
        </w:rPr>
        <w:t>Community Gateway</w:t>
      </w:r>
      <w:r w:rsidRPr="006C7CFA">
        <w:rPr>
          <w:rFonts w:asciiTheme="minorHAnsi" w:hAnsiTheme="minorHAnsi"/>
        </w:rPr>
        <w:t xml:space="preserve"> management at the earliest opportunity.</w:t>
      </w:r>
    </w:p>
    <w:p w:rsidR="00F81548" w:rsidRPr="006C7CFA" w:rsidRDefault="00F81548" w:rsidP="00F81548">
      <w:pPr>
        <w:pStyle w:val="ListBullet2"/>
        <w:tabs>
          <w:tab w:val="clear" w:pos="360"/>
          <w:tab w:val="num" w:pos="660"/>
        </w:tabs>
        <w:ind w:left="660" w:hanging="360"/>
        <w:jc w:val="both"/>
        <w:rPr>
          <w:rFonts w:asciiTheme="minorHAnsi" w:hAnsiTheme="minorHAnsi"/>
        </w:rPr>
      </w:pPr>
      <w:r w:rsidRPr="006C7CFA">
        <w:rPr>
          <w:rFonts w:asciiTheme="minorHAnsi" w:hAnsiTheme="minorHAnsi"/>
        </w:rPr>
        <w:t>If there is an emergency in relation to the premises, contact appropriate emergency services by ringing 000.</w:t>
      </w:r>
    </w:p>
    <w:p w:rsidR="00F81548" w:rsidRPr="002A3835" w:rsidRDefault="00F81548" w:rsidP="00F81548">
      <w:pPr>
        <w:pStyle w:val="Heading3"/>
        <w:jc w:val="both"/>
        <w:rPr>
          <w:rFonts w:asciiTheme="minorHAnsi" w:hAnsiTheme="minorHAnsi" w:cs="Times New Roman"/>
          <w:bCs w:val="0"/>
          <w:sz w:val="24"/>
        </w:rPr>
      </w:pPr>
      <w:bookmarkStart w:id="17" w:name="_Toc103073586"/>
      <w:bookmarkStart w:id="18" w:name="_Toc187571294"/>
      <w:bookmarkStart w:id="19" w:name="_Toc315645076"/>
      <w:bookmarkStart w:id="20" w:name="_Toc315722363"/>
      <w:bookmarkStart w:id="21" w:name="_Toc316459584"/>
      <w:bookmarkStart w:id="22" w:name="_Toc327952232"/>
      <w:bookmarkStart w:id="23" w:name="_Toc350849436"/>
      <w:bookmarkStart w:id="24" w:name="_Toc388548827"/>
      <w:bookmarkStart w:id="25" w:name="_Toc398218749"/>
      <w:bookmarkStart w:id="26" w:name="_Toc414193839"/>
      <w:bookmarkStart w:id="27" w:name="_Toc414197178"/>
      <w:r w:rsidRPr="002A3835">
        <w:rPr>
          <w:rFonts w:asciiTheme="minorHAnsi" w:hAnsiTheme="minorHAnsi" w:cs="Times New Roman"/>
          <w:bCs w:val="0"/>
          <w:sz w:val="24"/>
        </w:rPr>
        <w:t>Death of a person</w:t>
      </w:r>
      <w:bookmarkEnd w:id="17"/>
      <w:bookmarkEnd w:id="18"/>
      <w:bookmarkEnd w:id="19"/>
      <w:bookmarkEnd w:id="20"/>
      <w:bookmarkEnd w:id="21"/>
      <w:bookmarkEnd w:id="22"/>
      <w:bookmarkEnd w:id="23"/>
      <w:bookmarkEnd w:id="24"/>
      <w:bookmarkEnd w:id="25"/>
      <w:bookmarkEnd w:id="26"/>
      <w:bookmarkEnd w:id="27"/>
    </w:p>
    <w:p w:rsidR="00F81548" w:rsidRPr="006C7CFA" w:rsidRDefault="00F81548" w:rsidP="00F81548">
      <w:pPr>
        <w:pStyle w:val="BodyText"/>
        <w:jc w:val="both"/>
        <w:rPr>
          <w:rFonts w:asciiTheme="minorHAnsi" w:hAnsiTheme="minorHAnsi"/>
        </w:rPr>
      </w:pPr>
      <w:r w:rsidRPr="006C7CFA">
        <w:rPr>
          <w:rFonts w:asciiTheme="minorHAnsi" w:hAnsiTheme="minorHAnsi"/>
        </w:rPr>
        <w:t>In the event of discovering a person’s death when they arrive to visit or provide services, staff or agency workers will follow this procedure:</w:t>
      </w:r>
    </w:p>
    <w:p w:rsidR="00F81548" w:rsidRPr="006C7CFA" w:rsidRDefault="00F81548" w:rsidP="00F81548">
      <w:pPr>
        <w:pStyle w:val="ListBullet2"/>
        <w:tabs>
          <w:tab w:val="clear" w:pos="360"/>
          <w:tab w:val="num" w:pos="660"/>
        </w:tabs>
        <w:ind w:left="660" w:hanging="360"/>
        <w:jc w:val="both"/>
        <w:rPr>
          <w:rFonts w:asciiTheme="minorHAnsi" w:hAnsiTheme="minorHAnsi"/>
        </w:rPr>
      </w:pPr>
      <w:r w:rsidRPr="006C7CFA">
        <w:rPr>
          <w:rFonts w:asciiTheme="minorHAnsi" w:hAnsiTheme="minorHAnsi"/>
        </w:rPr>
        <w:t>Call emergency medical services immediately by ringing 000</w:t>
      </w:r>
    </w:p>
    <w:p w:rsidR="00F81548" w:rsidRPr="006C7CFA" w:rsidRDefault="00F81548" w:rsidP="00F81548">
      <w:pPr>
        <w:pStyle w:val="ListBullet2"/>
        <w:tabs>
          <w:tab w:val="clear" w:pos="360"/>
          <w:tab w:val="num" w:pos="660"/>
        </w:tabs>
        <w:ind w:left="660" w:hanging="360"/>
        <w:jc w:val="both"/>
        <w:rPr>
          <w:rFonts w:asciiTheme="minorHAnsi" w:hAnsiTheme="minorHAnsi"/>
        </w:rPr>
      </w:pPr>
      <w:r w:rsidRPr="006C7CFA">
        <w:rPr>
          <w:rFonts w:asciiTheme="minorHAnsi" w:hAnsiTheme="minorHAnsi"/>
        </w:rPr>
        <w:t xml:space="preserve">Contact the emergency contact person listed in the </w:t>
      </w:r>
      <w:r>
        <w:rPr>
          <w:rFonts w:asciiTheme="minorHAnsi" w:hAnsiTheme="minorHAnsi"/>
        </w:rPr>
        <w:t>client</w:t>
      </w:r>
      <w:r w:rsidRPr="006C7CFA">
        <w:rPr>
          <w:rFonts w:asciiTheme="minorHAnsi" w:hAnsiTheme="minorHAnsi"/>
        </w:rPr>
        <w:t>s file</w:t>
      </w:r>
    </w:p>
    <w:p w:rsidR="00F81548" w:rsidRPr="006C7CFA" w:rsidRDefault="00F81548" w:rsidP="00F81548">
      <w:pPr>
        <w:pStyle w:val="ListBullet2"/>
        <w:tabs>
          <w:tab w:val="clear" w:pos="360"/>
          <w:tab w:val="num" w:pos="660"/>
        </w:tabs>
        <w:ind w:left="660" w:hanging="360"/>
        <w:jc w:val="both"/>
        <w:rPr>
          <w:rFonts w:asciiTheme="minorHAnsi" w:hAnsiTheme="minorHAnsi"/>
        </w:rPr>
      </w:pPr>
      <w:r w:rsidRPr="006C7CFA">
        <w:rPr>
          <w:rFonts w:asciiTheme="minorHAnsi" w:hAnsiTheme="minorHAnsi"/>
        </w:rPr>
        <w:t xml:space="preserve">Notify the </w:t>
      </w:r>
      <w:r>
        <w:rPr>
          <w:rFonts w:asciiTheme="minorHAnsi" w:hAnsiTheme="minorHAnsi"/>
        </w:rPr>
        <w:t xml:space="preserve">Chief Executive Officer </w:t>
      </w:r>
      <w:r w:rsidRPr="006C7CFA">
        <w:rPr>
          <w:rFonts w:asciiTheme="minorHAnsi" w:hAnsiTheme="minorHAnsi"/>
        </w:rPr>
        <w:t xml:space="preserve">or </w:t>
      </w:r>
      <w:r>
        <w:rPr>
          <w:rFonts w:asciiTheme="minorHAnsi" w:hAnsiTheme="minorHAnsi"/>
        </w:rPr>
        <w:t>Director</w:t>
      </w:r>
      <w:r w:rsidRPr="006C7CFA">
        <w:rPr>
          <w:rFonts w:asciiTheme="minorHAnsi" w:hAnsiTheme="minorHAnsi"/>
        </w:rPr>
        <w:t xml:space="preserve"> to provide initial support to family members and workers.</w:t>
      </w:r>
    </w:p>
    <w:p w:rsidR="00F81548" w:rsidRPr="006C7CFA" w:rsidRDefault="00F81548" w:rsidP="00F81548">
      <w:pPr>
        <w:pStyle w:val="ListBullet2"/>
        <w:tabs>
          <w:tab w:val="clear" w:pos="360"/>
          <w:tab w:val="num" w:pos="660"/>
        </w:tabs>
        <w:ind w:left="660" w:hanging="360"/>
        <w:jc w:val="both"/>
        <w:rPr>
          <w:rFonts w:asciiTheme="minorHAnsi" w:hAnsiTheme="minorHAnsi"/>
        </w:rPr>
      </w:pPr>
      <w:r w:rsidRPr="006C7CFA">
        <w:rPr>
          <w:rFonts w:asciiTheme="minorHAnsi" w:hAnsiTheme="minorHAnsi"/>
        </w:rPr>
        <w:lastRenderedPageBreak/>
        <w:t>There are specific requirements that need to be carried out in relation to people under 18 years of age and former residents of the Department’s residential services, according to</w:t>
      </w:r>
      <w:r w:rsidRPr="006C7CFA">
        <w:rPr>
          <w:rFonts w:asciiTheme="minorHAnsi" w:hAnsiTheme="minorHAnsi"/>
          <w:b/>
        </w:rPr>
        <w:t xml:space="preserve"> Ageing, Disability and Home Care policy and guidelines “Response to the Death of a </w:t>
      </w:r>
      <w:r>
        <w:rPr>
          <w:rFonts w:asciiTheme="minorHAnsi" w:hAnsiTheme="minorHAnsi"/>
          <w:b/>
        </w:rPr>
        <w:t>Client</w:t>
      </w:r>
      <w:r w:rsidRPr="006C7CFA">
        <w:rPr>
          <w:rFonts w:asciiTheme="minorHAnsi" w:hAnsiTheme="minorHAnsi"/>
          <w:b/>
        </w:rPr>
        <w:t xml:space="preserve"> and Reporting Reviewable Deaths” (Document Number: 2004/PM/0006).</w:t>
      </w:r>
      <w:r w:rsidRPr="006C7CFA">
        <w:rPr>
          <w:rFonts w:asciiTheme="minorHAnsi" w:hAnsiTheme="minorHAnsi"/>
        </w:rPr>
        <w:t xml:space="preserve">  These include reporting to police, the Ombudsman and the Department.  Refer to these policy and guideline documents to prevent censure under the funding agreement guidelines.</w:t>
      </w:r>
    </w:p>
    <w:p w:rsidR="00F81548" w:rsidRPr="002A3835" w:rsidRDefault="00F81548" w:rsidP="002A3835">
      <w:pPr>
        <w:pStyle w:val="Heading3"/>
        <w:jc w:val="both"/>
        <w:rPr>
          <w:rFonts w:asciiTheme="minorHAnsi" w:hAnsiTheme="minorHAnsi" w:cs="Times New Roman"/>
          <w:bCs w:val="0"/>
          <w:sz w:val="24"/>
        </w:rPr>
      </w:pPr>
      <w:r w:rsidRPr="002A3835">
        <w:rPr>
          <w:rFonts w:asciiTheme="minorHAnsi" w:hAnsiTheme="minorHAnsi" w:cs="Times New Roman"/>
          <w:bCs w:val="0"/>
          <w:sz w:val="24"/>
        </w:rPr>
        <w:t>Principles guiding the response to death of a Client</w:t>
      </w:r>
    </w:p>
    <w:p w:rsidR="00F81548" w:rsidRPr="006C7CFA" w:rsidRDefault="00F81548" w:rsidP="00F81548">
      <w:pPr>
        <w:pStyle w:val="BodyText"/>
        <w:jc w:val="both"/>
        <w:rPr>
          <w:rFonts w:asciiTheme="minorHAnsi" w:hAnsiTheme="minorHAnsi"/>
        </w:rPr>
      </w:pPr>
      <w:r w:rsidRPr="006C7CFA">
        <w:rPr>
          <w:rFonts w:asciiTheme="minorHAnsi" w:hAnsiTheme="minorHAnsi"/>
        </w:rPr>
        <w:t xml:space="preserve">Principles guiding the response to the death of a </w:t>
      </w:r>
      <w:r>
        <w:rPr>
          <w:rFonts w:asciiTheme="minorHAnsi" w:hAnsiTheme="minorHAnsi"/>
        </w:rPr>
        <w:t xml:space="preserve">client included in the </w:t>
      </w:r>
      <w:r w:rsidRPr="006C7CFA">
        <w:rPr>
          <w:rFonts w:asciiTheme="minorHAnsi" w:hAnsiTheme="minorHAnsi"/>
        </w:rPr>
        <w:t>ADHC policy include the following:</w:t>
      </w:r>
    </w:p>
    <w:p w:rsidR="00F81548" w:rsidRPr="006C7CFA" w:rsidRDefault="00F81548" w:rsidP="00F81548">
      <w:pPr>
        <w:pStyle w:val="BodyText"/>
        <w:jc w:val="both"/>
        <w:rPr>
          <w:rFonts w:asciiTheme="minorHAnsi" w:hAnsiTheme="minorHAnsi"/>
        </w:rPr>
      </w:pPr>
      <w:r w:rsidRPr="006C7CFA">
        <w:rPr>
          <w:rFonts w:asciiTheme="minorHAnsi" w:hAnsiTheme="minorHAnsi"/>
        </w:rPr>
        <w:t xml:space="preserve">The response to the death of a </w:t>
      </w:r>
      <w:r>
        <w:rPr>
          <w:rFonts w:asciiTheme="minorHAnsi" w:hAnsiTheme="minorHAnsi"/>
        </w:rPr>
        <w:t>client</w:t>
      </w:r>
      <w:r w:rsidRPr="006C7CFA">
        <w:rPr>
          <w:rFonts w:asciiTheme="minorHAnsi" w:hAnsiTheme="minorHAnsi"/>
        </w:rPr>
        <w:t xml:space="preserve"> is to be sensitive and appropriate.  This includes ensuring that:</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 xml:space="preserve">The cultural and religious beliefs and practices of the </w:t>
      </w:r>
      <w:r>
        <w:rPr>
          <w:rFonts w:asciiTheme="minorHAnsi" w:hAnsiTheme="minorHAnsi"/>
        </w:rPr>
        <w:t>client</w:t>
      </w:r>
      <w:r w:rsidRPr="006C7CFA">
        <w:rPr>
          <w:rFonts w:asciiTheme="minorHAnsi" w:hAnsiTheme="minorHAnsi"/>
        </w:rPr>
        <w:t xml:space="preserve"> and their family are respected</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The response is dignified and prompt to minimize the distress arising from the event</w:t>
      </w:r>
    </w:p>
    <w:p w:rsidR="00F81548" w:rsidRPr="006C7CFA" w:rsidRDefault="00F81548" w:rsidP="00F81548">
      <w:pPr>
        <w:pStyle w:val="BodyText"/>
        <w:ind w:left="675" w:hanging="675"/>
        <w:jc w:val="both"/>
        <w:rPr>
          <w:rFonts w:asciiTheme="minorHAnsi" w:hAnsiTheme="minorHAnsi"/>
        </w:rPr>
      </w:pPr>
      <w:r w:rsidRPr="006C7CFA">
        <w:rPr>
          <w:rFonts w:asciiTheme="minorHAnsi" w:hAnsiTheme="minorHAnsi"/>
        </w:rPr>
        <w:t>The organisation and its staff offer the appropriate support.  This includes:</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Providing practical and organisational assistance within normal expected arrangements where required</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 xml:space="preserve">Where possible, having the same staff member deliver information about the </w:t>
      </w:r>
      <w:r>
        <w:rPr>
          <w:rFonts w:asciiTheme="minorHAnsi" w:hAnsiTheme="minorHAnsi"/>
        </w:rPr>
        <w:t>client</w:t>
      </w:r>
      <w:r w:rsidRPr="006C7CFA">
        <w:rPr>
          <w:rFonts w:asciiTheme="minorHAnsi" w:hAnsiTheme="minorHAnsi"/>
        </w:rPr>
        <w:t>’s death (and burial arrangements, where required) to the family, guardian and advocate</w:t>
      </w:r>
    </w:p>
    <w:p w:rsidR="00F81548" w:rsidRPr="006C7CFA" w:rsidRDefault="00F81548" w:rsidP="00F81548">
      <w:pPr>
        <w:pStyle w:val="BodyText"/>
        <w:jc w:val="both"/>
        <w:rPr>
          <w:rFonts w:asciiTheme="minorHAnsi" w:hAnsiTheme="minorHAnsi"/>
        </w:rPr>
      </w:pPr>
      <w:r w:rsidRPr="006C7CFA">
        <w:rPr>
          <w:rFonts w:asciiTheme="minorHAnsi" w:hAnsiTheme="minorHAnsi"/>
        </w:rPr>
        <w:t xml:space="preserve">The organisation and its staff offer appropriate support to other </w:t>
      </w:r>
      <w:r>
        <w:rPr>
          <w:rFonts w:asciiTheme="minorHAnsi" w:hAnsiTheme="minorHAnsi"/>
        </w:rPr>
        <w:t>client</w:t>
      </w:r>
      <w:r w:rsidRPr="006C7CFA">
        <w:rPr>
          <w:rFonts w:asciiTheme="minorHAnsi" w:hAnsiTheme="minorHAnsi"/>
        </w:rPr>
        <w:t xml:space="preserve">s affected by the death. </w:t>
      </w:r>
    </w:p>
    <w:p w:rsidR="00F81548" w:rsidRPr="006C7CFA" w:rsidRDefault="00F81548" w:rsidP="00F81548">
      <w:pPr>
        <w:pStyle w:val="Heading4"/>
        <w:jc w:val="both"/>
        <w:rPr>
          <w:rFonts w:asciiTheme="minorHAnsi" w:hAnsiTheme="minorHAnsi"/>
        </w:rPr>
      </w:pPr>
      <w:r w:rsidRPr="006C7CFA">
        <w:rPr>
          <w:rFonts w:asciiTheme="minorHAnsi" w:hAnsiTheme="minorHAnsi"/>
        </w:rPr>
        <w:t xml:space="preserve">Performance requirements in relation to the death of a </w:t>
      </w:r>
      <w:r>
        <w:rPr>
          <w:rFonts w:asciiTheme="minorHAnsi" w:hAnsiTheme="minorHAnsi"/>
        </w:rPr>
        <w:t>Client</w:t>
      </w:r>
    </w:p>
    <w:p w:rsidR="00F81548" w:rsidRPr="006C7CFA" w:rsidRDefault="00F81548" w:rsidP="00F81548">
      <w:pPr>
        <w:pStyle w:val="BodyText"/>
        <w:jc w:val="both"/>
        <w:rPr>
          <w:rFonts w:asciiTheme="minorHAnsi" w:hAnsiTheme="minorHAnsi"/>
        </w:rPr>
      </w:pPr>
      <w:r w:rsidRPr="006C7CFA">
        <w:rPr>
          <w:rFonts w:asciiTheme="minorHAnsi" w:hAnsiTheme="minorHAnsi"/>
        </w:rPr>
        <w:t>Services funded by ADHC must:</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Report deaths according to legislative requirements and timeframes according to ADHC policy &amp; guidelines (within 48 hours of the death)</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Cooperate with investigations by police, the Ombudsman and Coroner</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Review the circumstances of the death and implement and monitor appropriate actions arising from the review</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Maintain and store records required to comply with the legislation and ADHC policy</w:t>
      </w:r>
    </w:p>
    <w:p w:rsidR="00F81548" w:rsidRPr="006C7CFA" w:rsidRDefault="00F81548" w:rsidP="00F81548">
      <w:pPr>
        <w:pStyle w:val="ListBullet2"/>
        <w:tabs>
          <w:tab w:val="clear" w:pos="360"/>
          <w:tab w:val="num" w:pos="660"/>
        </w:tabs>
        <w:ind w:left="675" w:hanging="375"/>
        <w:jc w:val="both"/>
        <w:rPr>
          <w:rFonts w:asciiTheme="minorHAnsi" w:hAnsiTheme="minorHAnsi"/>
        </w:rPr>
      </w:pPr>
      <w:r w:rsidRPr="006C7CFA">
        <w:rPr>
          <w:rFonts w:asciiTheme="minorHAnsi" w:hAnsiTheme="minorHAnsi"/>
        </w:rPr>
        <w:t>Maintain documented procedures to give effect to the policy.</w:t>
      </w:r>
      <w:bookmarkStart w:id="28" w:name="_Toc103073587"/>
    </w:p>
    <w:p w:rsidR="00F81548" w:rsidRPr="006C7CFA" w:rsidRDefault="00F81548" w:rsidP="00F81548">
      <w:pPr>
        <w:pStyle w:val="Heading3"/>
        <w:jc w:val="both"/>
        <w:rPr>
          <w:rFonts w:asciiTheme="minorHAnsi" w:hAnsiTheme="minorHAnsi"/>
        </w:rPr>
      </w:pPr>
      <w:bookmarkStart w:id="29" w:name="_Toc187571295"/>
    </w:p>
    <w:p w:rsidR="00F81548" w:rsidRPr="002A3835" w:rsidRDefault="00F81548" w:rsidP="00F81548">
      <w:pPr>
        <w:pStyle w:val="Heading3"/>
        <w:jc w:val="both"/>
        <w:rPr>
          <w:rFonts w:asciiTheme="minorHAnsi" w:hAnsiTheme="minorHAnsi" w:cs="Times New Roman"/>
          <w:bCs w:val="0"/>
          <w:sz w:val="24"/>
        </w:rPr>
      </w:pPr>
      <w:bookmarkStart w:id="30" w:name="_Toc315645077"/>
      <w:bookmarkStart w:id="31" w:name="_Toc315722364"/>
      <w:bookmarkStart w:id="32" w:name="_Toc316459585"/>
      <w:bookmarkStart w:id="33" w:name="_Toc327952233"/>
      <w:bookmarkStart w:id="34" w:name="_Toc350849437"/>
      <w:bookmarkStart w:id="35" w:name="_Toc388548828"/>
      <w:bookmarkStart w:id="36" w:name="_Toc398218750"/>
      <w:bookmarkStart w:id="37" w:name="_Toc414193840"/>
      <w:bookmarkStart w:id="38" w:name="_Toc414197179"/>
      <w:r w:rsidRPr="002A3835">
        <w:rPr>
          <w:rFonts w:asciiTheme="minorHAnsi" w:hAnsiTheme="minorHAnsi" w:cs="Times New Roman"/>
          <w:bCs w:val="0"/>
          <w:sz w:val="24"/>
        </w:rPr>
        <w:t>Follow up of Incidents and/or emergencies</w:t>
      </w:r>
      <w:bookmarkEnd w:id="28"/>
      <w:bookmarkEnd w:id="29"/>
      <w:bookmarkEnd w:id="30"/>
      <w:bookmarkEnd w:id="31"/>
      <w:bookmarkEnd w:id="32"/>
      <w:bookmarkEnd w:id="33"/>
      <w:bookmarkEnd w:id="34"/>
      <w:bookmarkEnd w:id="35"/>
      <w:bookmarkEnd w:id="36"/>
      <w:bookmarkEnd w:id="37"/>
      <w:bookmarkEnd w:id="38"/>
    </w:p>
    <w:p w:rsidR="00F81548" w:rsidRPr="006C7CFA" w:rsidRDefault="00F81548" w:rsidP="00F81548">
      <w:pPr>
        <w:pStyle w:val="Heading4"/>
        <w:jc w:val="both"/>
        <w:rPr>
          <w:rFonts w:asciiTheme="minorHAnsi" w:hAnsiTheme="minorHAnsi"/>
        </w:rPr>
      </w:pPr>
      <w:r w:rsidRPr="006C7CFA">
        <w:rPr>
          <w:rFonts w:asciiTheme="minorHAnsi" w:hAnsiTheme="minorHAnsi"/>
        </w:rPr>
        <w:t>Reporting</w:t>
      </w:r>
    </w:p>
    <w:p w:rsidR="00F81548" w:rsidRPr="006C7CFA" w:rsidRDefault="00F81548" w:rsidP="00F81548">
      <w:pPr>
        <w:pStyle w:val="BodyText"/>
        <w:jc w:val="both"/>
        <w:rPr>
          <w:rFonts w:asciiTheme="minorHAnsi" w:hAnsiTheme="minorHAnsi"/>
        </w:rPr>
      </w:pPr>
      <w:r w:rsidRPr="006C7CFA">
        <w:rPr>
          <w:rFonts w:asciiTheme="minorHAnsi" w:hAnsiTheme="minorHAnsi"/>
        </w:rPr>
        <w:t>In the event of a serious incident, emergency or accident, staff must complete an Incident Report Form as soon as practicable, but no later than 24 hours after the event. This must be given to the</w:t>
      </w:r>
      <w:r w:rsidRPr="006C7CFA">
        <w:rPr>
          <w:rFonts w:asciiTheme="minorHAnsi" w:hAnsiTheme="minorHAnsi"/>
          <w:color w:val="FF0000"/>
        </w:rPr>
        <w:t xml:space="preserve"> </w:t>
      </w:r>
      <w:r w:rsidRPr="006C7CFA">
        <w:rPr>
          <w:rFonts w:asciiTheme="minorHAnsi" w:hAnsiTheme="minorHAnsi"/>
        </w:rPr>
        <w:t xml:space="preserve">Chief Executive Officer, </w:t>
      </w:r>
      <w:r>
        <w:rPr>
          <w:rFonts w:asciiTheme="minorHAnsi" w:hAnsiTheme="minorHAnsi"/>
        </w:rPr>
        <w:t>Director</w:t>
      </w:r>
      <w:r w:rsidRPr="006C7CFA">
        <w:rPr>
          <w:rFonts w:asciiTheme="minorHAnsi" w:hAnsiTheme="minorHAnsi"/>
        </w:rPr>
        <w:t xml:space="preserve"> or a member of the Board of Management for follow-up.</w:t>
      </w:r>
    </w:p>
    <w:p w:rsidR="00F81548" w:rsidRPr="006C7CFA" w:rsidRDefault="00F81548" w:rsidP="00F81548">
      <w:pPr>
        <w:pStyle w:val="Heading4"/>
        <w:jc w:val="both"/>
        <w:rPr>
          <w:rFonts w:asciiTheme="minorHAnsi" w:hAnsiTheme="minorHAnsi"/>
        </w:rPr>
      </w:pPr>
      <w:bookmarkStart w:id="39" w:name="_Toc103073588"/>
      <w:r w:rsidRPr="006C7CFA">
        <w:rPr>
          <w:rFonts w:asciiTheme="minorHAnsi" w:hAnsiTheme="minorHAnsi"/>
        </w:rPr>
        <w:lastRenderedPageBreak/>
        <w:t>Trauma/ Critical Incident Debriefing</w:t>
      </w:r>
      <w:bookmarkEnd w:id="39"/>
    </w:p>
    <w:p w:rsidR="00F81548" w:rsidRPr="006C7CFA" w:rsidRDefault="00F81548" w:rsidP="00F81548">
      <w:pPr>
        <w:pStyle w:val="BodyText"/>
        <w:jc w:val="both"/>
        <w:rPr>
          <w:rFonts w:asciiTheme="minorHAnsi" w:hAnsiTheme="minorHAnsi"/>
        </w:rPr>
      </w:pPr>
      <w:r w:rsidRPr="006C7CFA">
        <w:rPr>
          <w:rFonts w:asciiTheme="minorHAnsi" w:hAnsiTheme="minorHAnsi"/>
        </w:rPr>
        <w:t xml:space="preserve">After the initial emergency, serious incident, accident or death of a person has been defused (see above in Emergency Procedures for staff when working with </w:t>
      </w:r>
      <w:r>
        <w:rPr>
          <w:rFonts w:asciiTheme="minorHAnsi" w:hAnsiTheme="minorHAnsi"/>
        </w:rPr>
        <w:t>client</w:t>
      </w:r>
      <w:r w:rsidRPr="006C7CFA">
        <w:rPr>
          <w:rFonts w:asciiTheme="minorHAnsi" w:hAnsiTheme="minorHAnsi"/>
        </w:rPr>
        <w:t xml:space="preserve">s and in Section 1: 1.30 Emergency Procedures), a full debriefing with the </w:t>
      </w:r>
      <w:r>
        <w:rPr>
          <w:rFonts w:asciiTheme="minorHAnsi" w:hAnsiTheme="minorHAnsi"/>
        </w:rPr>
        <w:t>Director</w:t>
      </w:r>
      <w:r w:rsidRPr="006C7CFA">
        <w:rPr>
          <w:rFonts w:asciiTheme="minorHAnsi" w:hAnsiTheme="minorHAnsi"/>
        </w:rPr>
        <w:t xml:space="preserve"> will take place. This will occur within 24 hours of the incident, with all staff involved in the incident, accident or emergency.  This is to enable staff to discuss their feelings and concerns about the accident, incident or emergency.</w:t>
      </w:r>
    </w:p>
    <w:p w:rsidR="00F81548" w:rsidRPr="006C7CFA" w:rsidRDefault="00F81548" w:rsidP="00F81548">
      <w:pPr>
        <w:pStyle w:val="Heading4"/>
        <w:jc w:val="both"/>
        <w:rPr>
          <w:rFonts w:asciiTheme="minorHAnsi" w:hAnsiTheme="minorHAnsi"/>
        </w:rPr>
      </w:pPr>
      <w:bookmarkStart w:id="40" w:name="_Toc103073589"/>
      <w:r w:rsidRPr="006C7CFA">
        <w:rPr>
          <w:rFonts w:asciiTheme="minorHAnsi" w:hAnsiTheme="minorHAnsi"/>
        </w:rPr>
        <w:t>Counselling and Treatment</w:t>
      </w:r>
      <w:bookmarkEnd w:id="40"/>
    </w:p>
    <w:p w:rsidR="00F81548" w:rsidRPr="006C7CFA" w:rsidRDefault="00F81548" w:rsidP="00F81548">
      <w:pPr>
        <w:pStyle w:val="BodyText"/>
        <w:jc w:val="both"/>
        <w:rPr>
          <w:rFonts w:asciiTheme="minorHAnsi" w:hAnsiTheme="minorHAnsi"/>
        </w:rPr>
      </w:pPr>
      <w:r w:rsidRPr="006C7CFA">
        <w:rPr>
          <w:rFonts w:asciiTheme="minorHAnsi" w:hAnsiTheme="minorHAnsi"/>
        </w:rPr>
        <w:t xml:space="preserve">If staff members need counselling for any emotional effects of emergencies, serious incidents or accidents, this will be carried out with an appropriate referral to </w:t>
      </w:r>
      <w:r>
        <w:rPr>
          <w:rFonts w:asciiTheme="minorHAnsi" w:hAnsiTheme="minorHAnsi"/>
        </w:rPr>
        <w:t>Community Gateway</w:t>
      </w:r>
      <w:r w:rsidRPr="006C7CFA">
        <w:rPr>
          <w:rFonts w:asciiTheme="minorHAnsi" w:hAnsiTheme="minorHAnsi"/>
        </w:rPr>
        <w:t xml:space="preserve"> Employee Assistance Program counselling services for further support and treatment. </w:t>
      </w:r>
    </w:p>
    <w:p w:rsidR="00F81548" w:rsidRPr="006C7CFA" w:rsidRDefault="00F81548" w:rsidP="00F81548">
      <w:pPr>
        <w:pStyle w:val="Heading4"/>
        <w:jc w:val="both"/>
        <w:rPr>
          <w:rFonts w:asciiTheme="minorHAnsi" w:hAnsiTheme="minorHAnsi"/>
        </w:rPr>
      </w:pPr>
      <w:bookmarkStart w:id="41" w:name="_Toc103073590"/>
      <w:r w:rsidRPr="006C7CFA">
        <w:rPr>
          <w:rFonts w:asciiTheme="minorHAnsi" w:hAnsiTheme="minorHAnsi"/>
        </w:rPr>
        <w:t>Critical Incident Response</w:t>
      </w:r>
      <w:bookmarkEnd w:id="41"/>
    </w:p>
    <w:p w:rsidR="00F81548" w:rsidRPr="006C7CFA" w:rsidRDefault="00F81548" w:rsidP="00F81548">
      <w:pPr>
        <w:pStyle w:val="BodyText"/>
        <w:jc w:val="both"/>
        <w:rPr>
          <w:rFonts w:asciiTheme="minorHAnsi" w:hAnsiTheme="minorHAnsi"/>
        </w:rPr>
      </w:pPr>
      <w:r>
        <w:rPr>
          <w:rFonts w:asciiTheme="minorHAnsi" w:hAnsiTheme="minorHAnsi"/>
        </w:rPr>
        <w:t>Community Gateway</w:t>
      </w:r>
      <w:r w:rsidRPr="006C7CFA">
        <w:rPr>
          <w:rFonts w:asciiTheme="minorHAnsi" w:hAnsiTheme="minorHAnsi"/>
          <w:color w:val="FF0000"/>
        </w:rPr>
        <w:t xml:space="preserve"> </w:t>
      </w:r>
      <w:r w:rsidRPr="006C7CFA">
        <w:rPr>
          <w:rFonts w:asciiTheme="minorHAnsi" w:hAnsiTheme="minorHAnsi"/>
        </w:rPr>
        <w:t xml:space="preserve">will record all critical/serious incidents, accidents and emergencies.  These will be reviewed by the </w:t>
      </w:r>
      <w:r>
        <w:rPr>
          <w:rFonts w:asciiTheme="minorHAnsi" w:hAnsiTheme="minorHAnsi"/>
        </w:rPr>
        <w:t>Director</w:t>
      </w:r>
      <w:r w:rsidRPr="006C7CFA">
        <w:rPr>
          <w:rFonts w:asciiTheme="minorHAnsi" w:hAnsiTheme="minorHAnsi"/>
        </w:rPr>
        <w:t>s for immediate response to change practices and procedures if required to prevent future incidents, accidents and emergencies, and by the Board of Management to review policies in relation to these events.</w:t>
      </w:r>
    </w:p>
    <w:p w:rsidR="00F81548" w:rsidRPr="006C7CFA" w:rsidRDefault="00F81548" w:rsidP="00F81548">
      <w:pPr>
        <w:pStyle w:val="Heading4"/>
        <w:jc w:val="both"/>
        <w:rPr>
          <w:rFonts w:asciiTheme="minorHAnsi" w:hAnsiTheme="minorHAnsi"/>
          <w:color w:val="FF0000"/>
        </w:rPr>
      </w:pPr>
    </w:p>
    <w:p w:rsidR="00F81548" w:rsidRPr="006C7CFA" w:rsidRDefault="00F81548" w:rsidP="00F81548">
      <w:pPr>
        <w:pStyle w:val="Heading4"/>
        <w:jc w:val="both"/>
        <w:rPr>
          <w:rFonts w:asciiTheme="minorHAnsi" w:hAnsiTheme="minorHAnsi"/>
        </w:rPr>
      </w:pPr>
      <w:r w:rsidRPr="006C7CFA">
        <w:rPr>
          <w:rFonts w:asciiTheme="minorHAnsi" w:hAnsiTheme="minorHAnsi"/>
        </w:rPr>
        <w:t>MEASUREMENT</w:t>
      </w:r>
    </w:p>
    <w:p w:rsidR="00F81548" w:rsidRPr="006C7CFA" w:rsidRDefault="00F81548" w:rsidP="00F81548">
      <w:pPr>
        <w:pStyle w:val="BodyText"/>
        <w:numPr>
          <w:ilvl w:val="0"/>
          <w:numId w:val="2"/>
        </w:numPr>
        <w:jc w:val="both"/>
        <w:rPr>
          <w:rFonts w:asciiTheme="minorHAnsi" w:hAnsiTheme="minorHAnsi"/>
        </w:rPr>
      </w:pPr>
      <w:r w:rsidRPr="006C7CFA">
        <w:rPr>
          <w:rFonts w:asciiTheme="minorHAnsi" w:hAnsiTheme="minorHAnsi"/>
        </w:rPr>
        <w:t>Record of Deaths</w:t>
      </w:r>
    </w:p>
    <w:p w:rsidR="00F81548" w:rsidRPr="006C7CFA" w:rsidRDefault="00F81548" w:rsidP="00F81548">
      <w:pPr>
        <w:pStyle w:val="BodyText"/>
        <w:numPr>
          <w:ilvl w:val="0"/>
          <w:numId w:val="2"/>
        </w:numPr>
        <w:jc w:val="both"/>
        <w:rPr>
          <w:rFonts w:asciiTheme="minorHAnsi" w:hAnsiTheme="minorHAnsi"/>
        </w:rPr>
      </w:pPr>
      <w:r w:rsidRPr="006C7CFA">
        <w:rPr>
          <w:rFonts w:asciiTheme="minorHAnsi" w:hAnsiTheme="minorHAnsi"/>
        </w:rPr>
        <w:t>Critical Incidence reports</w:t>
      </w:r>
    </w:p>
    <w:p w:rsidR="00F81548" w:rsidRPr="006C7CFA" w:rsidRDefault="00F81548" w:rsidP="00F81548">
      <w:pPr>
        <w:pStyle w:val="BodyText"/>
        <w:numPr>
          <w:ilvl w:val="0"/>
          <w:numId w:val="2"/>
        </w:numPr>
        <w:jc w:val="both"/>
        <w:rPr>
          <w:rFonts w:asciiTheme="minorHAnsi" w:hAnsiTheme="minorHAnsi"/>
        </w:rPr>
      </w:pPr>
      <w:r w:rsidRPr="006C7CFA">
        <w:rPr>
          <w:rFonts w:asciiTheme="minorHAnsi" w:hAnsiTheme="minorHAnsi"/>
        </w:rPr>
        <w:t>Record of Debriefing and counselling sessions attended by staff members</w:t>
      </w:r>
    </w:p>
    <w:p w:rsidR="00F81548" w:rsidRDefault="00F81548" w:rsidP="00F81548">
      <w:pPr>
        <w:pStyle w:val="Heading4"/>
        <w:jc w:val="both"/>
        <w:rPr>
          <w:rFonts w:asciiTheme="minorHAnsi" w:hAnsiTheme="minorHAnsi"/>
        </w:rPr>
      </w:pPr>
    </w:p>
    <w:p w:rsidR="00F81548" w:rsidRPr="006C7CFA" w:rsidRDefault="00F81548" w:rsidP="00F81548">
      <w:pPr>
        <w:pStyle w:val="Heading4"/>
        <w:jc w:val="both"/>
        <w:rPr>
          <w:rFonts w:asciiTheme="minorHAnsi" w:hAnsiTheme="minorHAnsi"/>
        </w:rPr>
      </w:pPr>
      <w:r w:rsidRPr="006C7CFA">
        <w:rPr>
          <w:rFonts w:asciiTheme="minorHAnsi" w:hAnsiTheme="minorHAnsi"/>
        </w:rPr>
        <w:t>RESPONSIBILITIES</w:t>
      </w:r>
    </w:p>
    <w:p w:rsidR="00F81548" w:rsidRPr="006C7CFA" w:rsidRDefault="00F81548" w:rsidP="00F81548">
      <w:pPr>
        <w:numPr>
          <w:ilvl w:val="0"/>
          <w:numId w:val="3"/>
        </w:numPr>
        <w:spacing w:after="0" w:line="240" w:lineRule="auto"/>
      </w:pPr>
      <w:r w:rsidRPr="006C7CFA">
        <w:t>Board of Management</w:t>
      </w:r>
    </w:p>
    <w:p w:rsidR="00F81548" w:rsidRPr="006C7CFA" w:rsidRDefault="00F81548" w:rsidP="00F81548">
      <w:pPr>
        <w:numPr>
          <w:ilvl w:val="0"/>
          <w:numId w:val="3"/>
        </w:numPr>
        <w:spacing w:after="0" w:line="240" w:lineRule="auto"/>
      </w:pPr>
      <w:r w:rsidRPr="006C7CFA">
        <w:t>Chief Executive Officer</w:t>
      </w:r>
    </w:p>
    <w:p w:rsidR="00F81548" w:rsidRPr="006C7CFA" w:rsidRDefault="006411A5" w:rsidP="00F81548">
      <w:pPr>
        <w:numPr>
          <w:ilvl w:val="0"/>
          <w:numId w:val="3"/>
        </w:numPr>
        <w:spacing w:after="0" w:line="240" w:lineRule="auto"/>
      </w:pPr>
      <w:r>
        <w:t>Leadership</w:t>
      </w:r>
    </w:p>
    <w:p w:rsidR="00F81548" w:rsidRPr="006C7CFA" w:rsidRDefault="00F81548" w:rsidP="00F81548">
      <w:pPr>
        <w:numPr>
          <w:ilvl w:val="0"/>
          <w:numId w:val="3"/>
        </w:numPr>
        <w:spacing w:after="0" w:line="240" w:lineRule="auto"/>
      </w:pPr>
      <w:r w:rsidRPr="006C7CFA">
        <w:t>All staff members</w:t>
      </w:r>
    </w:p>
    <w:p w:rsidR="00F81548" w:rsidRPr="006C7CFA" w:rsidRDefault="00F81548" w:rsidP="00F81548">
      <w:pPr>
        <w:pStyle w:val="Heading4"/>
        <w:jc w:val="both"/>
        <w:rPr>
          <w:rFonts w:asciiTheme="minorHAnsi" w:hAnsiTheme="minorHAnsi"/>
        </w:rPr>
      </w:pPr>
    </w:p>
    <w:p w:rsidR="00F81548" w:rsidRPr="006C7CFA" w:rsidRDefault="00F81548" w:rsidP="00F81548">
      <w:pPr>
        <w:pStyle w:val="Heading4"/>
        <w:jc w:val="both"/>
        <w:rPr>
          <w:rFonts w:asciiTheme="minorHAnsi" w:hAnsiTheme="minorHAnsi"/>
        </w:rPr>
      </w:pPr>
      <w:r w:rsidRPr="006C7CFA">
        <w:rPr>
          <w:rFonts w:asciiTheme="minorHAnsi" w:hAnsiTheme="minorHAnsi"/>
        </w:rPr>
        <w:t>STANDARDS and COMPLIANCE</w:t>
      </w:r>
    </w:p>
    <w:p w:rsidR="00F81548" w:rsidRPr="006C7CFA" w:rsidRDefault="00F81548" w:rsidP="00F81548">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1.6:  Risk Management</w:t>
      </w:r>
    </w:p>
    <w:p w:rsidR="00F81548" w:rsidRPr="006C7CFA" w:rsidRDefault="00F81548" w:rsidP="00F81548">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1.7:  Human Resources Management</w:t>
      </w:r>
    </w:p>
    <w:p w:rsidR="00F81548" w:rsidRPr="006C7CFA" w:rsidRDefault="00F81548" w:rsidP="00F81548">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3.1:  Information Provision</w:t>
      </w:r>
    </w:p>
    <w:p w:rsidR="00F81548" w:rsidRPr="006C7CFA" w:rsidRDefault="00F81548" w:rsidP="00F81548">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3.2:  Privacy and Confidentiality</w:t>
      </w:r>
    </w:p>
    <w:p w:rsidR="00F81548" w:rsidRPr="006C7CFA" w:rsidRDefault="00F81548" w:rsidP="00F81548">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3.4:  Advocacy</w:t>
      </w:r>
    </w:p>
    <w:p w:rsidR="00F81548" w:rsidRPr="006C7CFA" w:rsidRDefault="00F81548" w:rsidP="00F81548">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3.5:  Independence</w:t>
      </w:r>
    </w:p>
    <w:p w:rsidR="00F81548" w:rsidRPr="006C7CFA" w:rsidRDefault="00F81548" w:rsidP="00F81548">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outlineLvl w:val="0"/>
        <w:rPr>
          <w:rFonts w:cs="Arial"/>
          <w:i/>
          <w:spacing w:val="-3"/>
          <w:sz w:val="18"/>
          <w:szCs w:val="18"/>
        </w:rPr>
      </w:pPr>
    </w:p>
    <w:p w:rsidR="00F81548" w:rsidRPr="006C7CFA" w:rsidRDefault="00F81548" w:rsidP="00F81548">
      <w:pPr>
        <w:numPr>
          <w:ilvl w:val="12"/>
          <w:numId w:val="0"/>
        </w:numPr>
        <w:tabs>
          <w:tab w:val="right" w:pos="-189"/>
          <w:tab w:val="right" w:pos="7182"/>
          <w:tab w:val="left" w:pos="7741"/>
        </w:tabs>
        <w:suppressAutoHyphens/>
        <w:outlineLvl w:val="0"/>
        <w:rPr>
          <w:i/>
          <w:sz w:val="18"/>
        </w:rPr>
      </w:pPr>
      <w:bookmarkStart w:id="42" w:name="_Toc398218751"/>
      <w:bookmarkStart w:id="43" w:name="_Toc414193841"/>
      <w:bookmarkStart w:id="44" w:name="_Toc414197180"/>
      <w:r>
        <w:rPr>
          <w:i/>
          <w:sz w:val="18"/>
        </w:rPr>
        <w:t>Disability Service Standard 6: Service Management</w:t>
      </w:r>
      <w:bookmarkEnd w:id="42"/>
      <w:bookmarkEnd w:id="43"/>
      <w:bookmarkEnd w:id="44"/>
    </w:p>
    <w:p w:rsidR="00F81548" w:rsidRPr="006C7CFA" w:rsidRDefault="00F81548" w:rsidP="00F81548">
      <w:pPr>
        <w:pStyle w:val="BodyText"/>
        <w:jc w:val="both"/>
        <w:rPr>
          <w:rFonts w:asciiTheme="minorHAnsi" w:hAnsiTheme="minorHAnsi"/>
          <w:b/>
        </w:rPr>
      </w:pPr>
    </w:p>
    <w:p w:rsidR="00F81548" w:rsidRPr="006C7CFA" w:rsidRDefault="00F81548" w:rsidP="00F81548">
      <w:pPr>
        <w:pStyle w:val="BodyText"/>
        <w:jc w:val="both"/>
        <w:rPr>
          <w:rFonts w:asciiTheme="minorHAnsi" w:hAnsiTheme="minorHAnsi"/>
          <w:b/>
        </w:rPr>
      </w:pPr>
      <w:r w:rsidRPr="006C7CFA">
        <w:rPr>
          <w:rFonts w:asciiTheme="minorHAnsi" w:hAnsiTheme="minorHAnsi"/>
          <w:b/>
        </w:rPr>
        <w:lastRenderedPageBreak/>
        <w:t>OTHER RELEVANT POLICIES</w:t>
      </w:r>
    </w:p>
    <w:p w:rsidR="00F81548" w:rsidRPr="00407796" w:rsidRDefault="00F81548" w:rsidP="00F81548">
      <w:pPr>
        <w:jc w:val="both"/>
        <w:rPr>
          <w:b/>
        </w:rPr>
      </w:pPr>
      <w:r w:rsidRPr="00407796">
        <w:rPr>
          <w:b/>
        </w:rPr>
        <w:t>A7 Client Risk Assessment and Management</w:t>
      </w:r>
    </w:p>
    <w:p w:rsidR="00F81548" w:rsidRPr="00407796" w:rsidRDefault="00F81548" w:rsidP="00F81548">
      <w:pPr>
        <w:jc w:val="both"/>
        <w:rPr>
          <w:b/>
        </w:rPr>
      </w:pPr>
      <w:r w:rsidRPr="00407796">
        <w:rPr>
          <w:b/>
        </w:rPr>
        <w:t>A9 Assessment for Lifestyle and Positive Behaviour Support</w:t>
      </w:r>
    </w:p>
    <w:p w:rsidR="00F81548" w:rsidRPr="00407796" w:rsidRDefault="00F81548" w:rsidP="00F81548">
      <w:pPr>
        <w:jc w:val="both"/>
        <w:rPr>
          <w:b/>
        </w:rPr>
      </w:pPr>
      <w:r w:rsidRPr="00407796">
        <w:rPr>
          <w:b/>
        </w:rPr>
        <w:t xml:space="preserve">P2 </w:t>
      </w:r>
      <w:r w:rsidR="00407796">
        <w:rPr>
          <w:b/>
        </w:rPr>
        <w:t>Planning and Support</w:t>
      </w:r>
    </w:p>
    <w:p w:rsidR="00F81548" w:rsidRPr="00407796" w:rsidRDefault="00F81548" w:rsidP="00F81548">
      <w:pPr>
        <w:jc w:val="both"/>
        <w:rPr>
          <w:b/>
        </w:rPr>
      </w:pPr>
      <w:r w:rsidRPr="00407796">
        <w:rPr>
          <w:b/>
        </w:rPr>
        <w:t>P12 Death of a Client</w:t>
      </w:r>
    </w:p>
    <w:p w:rsidR="00F81548" w:rsidRPr="00407796" w:rsidRDefault="00F81548" w:rsidP="00F81548">
      <w:pPr>
        <w:jc w:val="both"/>
        <w:rPr>
          <w:b/>
        </w:rPr>
      </w:pPr>
      <w:r w:rsidRPr="00407796">
        <w:rPr>
          <w:b/>
        </w:rPr>
        <w:t>S8 Staff Supervision and Support</w:t>
      </w:r>
    </w:p>
    <w:p w:rsidR="00F81548" w:rsidRPr="00407796" w:rsidRDefault="00F81548" w:rsidP="00F81548">
      <w:pPr>
        <w:jc w:val="both"/>
        <w:rPr>
          <w:b/>
        </w:rPr>
      </w:pPr>
      <w:r w:rsidRPr="00407796">
        <w:rPr>
          <w:b/>
        </w:rPr>
        <w:t xml:space="preserve">S10 Staff Appraisal </w:t>
      </w:r>
    </w:p>
    <w:p w:rsidR="00BA0ABE" w:rsidRDefault="00BA0ABE"/>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1" w15:restartNumberingAfterBreak="0">
    <w:nsid w:val="1A946455"/>
    <w:multiLevelType w:val="hybridMultilevel"/>
    <w:tmpl w:val="DAE07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F2234"/>
    <w:multiLevelType w:val="hybridMultilevel"/>
    <w:tmpl w:val="C2AA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079D1"/>
    <w:rsid w:val="00011FD8"/>
    <w:rsid w:val="000369D5"/>
    <w:rsid w:val="000551B4"/>
    <w:rsid w:val="000D51EB"/>
    <w:rsid w:val="000E2931"/>
    <w:rsid w:val="0010304A"/>
    <w:rsid w:val="00182978"/>
    <w:rsid w:val="00203257"/>
    <w:rsid w:val="002738E8"/>
    <w:rsid w:val="002A3835"/>
    <w:rsid w:val="002B65CF"/>
    <w:rsid w:val="00311585"/>
    <w:rsid w:val="0035247A"/>
    <w:rsid w:val="003A7A7F"/>
    <w:rsid w:val="00402D5F"/>
    <w:rsid w:val="00407796"/>
    <w:rsid w:val="004402FF"/>
    <w:rsid w:val="00470232"/>
    <w:rsid w:val="004D4FC7"/>
    <w:rsid w:val="005421D2"/>
    <w:rsid w:val="005A0DC6"/>
    <w:rsid w:val="005E43C3"/>
    <w:rsid w:val="006411A5"/>
    <w:rsid w:val="00645D29"/>
    <w:rsid w:val="00650D8E"/>
    <w:rsid w:val="007014AB"/>
    <w:rsid w:val="007179B3"/>
    <w:rsid w:val="0072687E"/>
    <w:rsid w:val="0078475C"/>
    <w:rsid w:val="008068AE"/>
    <w:rsid w:val="008155F5"/>
    <w:rsid w:val="00941D95"/>
    <w:rsid w:val="009C53CF"/>
    <w:rsid w:val="00AF32F7"/>
    <w:rsid w:val="00B50FE1"/>
    <w:rsid w:val="00B96792"/>
    <w:rsid w:val="00BA0ABE"/>
    <w:rsid w:val="00C21908"/>
    <w:rsid w:val="00C33E3D"/>
    <w:rsid w:val="00DF1995"/>
    <w:rsid w:val="00E54CDC"/>
    <w:rsid w:val="00E60D3B"/>
    <w:rsid w:val="00E92A11"/>
    <w:rsid w:val="00F32C62"/>
    <w:rsid w:val="00F56070"/>
    <w:rsid w:val="00F81548"/>
    <w:rsid w:val="00F846A6"/>
    <w:rsid w:val="00F97033"/>
    <w:rsid w:val="00FB467C"/>
    <w:rsid w:val="00FD069E"/>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81548"/>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9"/>
    <w:qFormat/>
    <w:rsid w:val="00F81548"/>
    <w:pPr>
      <w:keepNext/>
      <w:spacing w:before="60" w:after="120" w:line="240" w:lineRule="auto"/>
      <w:outlineLvl w:val="2"/>
    </w:pPr>
    <w:rPr>
      <w:rFonts w:ascii="Arial" w:eastAsia="Times New Roman" w:hAnsi="Arial" w:cs="Arial"/>
      <w:b/>
      <w:bCs/>
      <w:sz w:val="28"/>
      <w:szCs w:val="20"/>
    </w:rPr>
  </w:style>
  <w:style w:type="paragraph" w:styleId="Heading4">
    <w:name w:val="heading 4"/>
    <w:basedOn w:val="Normal"/>
    <w:next w:val="Normal"/>
    <w:link w:val="Heading4Char"/>
    <w:uiPriority w:val="99"/>
    <w:qFormat/>
    <w:rsid w:val="00F81548"/>
    <w:pPr>
      <w:keepNext/>
      <w:tabs>
        <w:tab w:val="left" w:pos="990"/>
      </w:tabs>
      <w:spacing w:before="120" w:after="12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1548"/>
    <w:rPr>
      <w:rFonts w:ascii="Arial" w:eastAsia="Times New Roman" w:hAnsi="Arial" w:cs="Times New Roman"/>
      <w:b/>
      <w:sz w:val="32"/>
      <w:szCs w:val="20"/>
      <w:shd w:val="clear" w:color="auto" w:fill="C0C0C0"/>
    </w:rPr>
  </w:style>
  <w:style w:type="character" w:customStyle="1" w:styleId="Heading3Char">
    <w:name w:val="Heading 3 Char"/>
    <w:basedOn w:val="DefaultParagraphFont"/>
    <w:link w:val="Heading3"/>
    <w:uiPriority w:val="99"/>
    <w:rsid w:val="00F81548"/>
    <w:rPr>
      <w:rFonts w:ascii="Arial" w:eastAsia="Times New Roman" w:hAnsi="Arial" w:cs="Arial"/>
      <w:b/>
      <w:bCs/>
      <w:sz w:val="28"/>
      <w:szCs w:val="20"/>
    </w:rPr>
  </w:style>
  <w:style w:type="character" w:customStyle="1" w:styleId="Heading4Char">
    <w:name w:val="Heading 4 Char"/>
    <w:basedOn w:val="DefaultParagraphFont"/>
    <w:link w:val="Heading4"/>
    <w:uiPriority w:val="99"/>
    <w:rsid w:val="00F81548"/>
    <w:rPr>
      <w:rFonts w:ascii="Arial" w:eastAsia="Times New Roman" w:hAnsi="Arial" w:cs="Times New Roman"/>
      <w:b/>
      <w:sz w:val="24"/>
      <w:szCs w:val="20"/>
    </w:rPr>
  </w:style>
  <w:style w:type="paragraph" w:styleId="BodyText">
    <w:name w:val="Body Text"/>
    <w:basedOn w:val="Normal"/>
    <w:link w:val="BodyTextChar1"/>
    <w:uiPriority w:val="99"/>
    <w:rsid w:val="00F81548"/>
    <w:pPr>
      <w:widowControl w:val="0"/>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F81548"/>
  </w:style>
  <w:style w:type="paragraph" w:styleId="ListBullet2">
    <w:name w:val="List Bullet 2"/>
    <w:basedOn w:val="BodyText"/>
    <w:uiPriority w:val="99"/>
    <w:rsid w:val="00F81548"/>
    <w:pPr>
      <w:numPr>
        <w:numId w:val="1"/>
      </w:numPr>
      <w:tabs>
        <w:tab w:val="clear" w:pos="660"/>
        <w:tab w:val="num" w:pos="360"/>
      </w:tabs>
      <w:ind w:left="0" w:firstLine="0"/>
    </w:pPr>
  </w:style>
  <w:style w:type="character" w:customStyle="1" w:styleId="BodyTextChar1">
    <w:name w:val="Body Text Char1"/>
    <w:link w:val="BodyText"/>
    <w:uiPriority w:val="99"/>
    <w:locked/>
    <w:rsid w:val="00F8154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Patricia Smith</cp:lastModifiedBy>
  <cp:revision>2</cp:revision>
  <dcterms:created xsi:type="dcterms:W3CDTF">2018-01-04T01:27:00Z</dcterms:created>
  <dcterms:modified xsi:type="dcterms:W3CDTF">2018-01-04T01:27:00Z</dcterms:modified>
</cp:coreProperties>
</file>