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D6" w:rsidRPr="0025141C" w:rsidRDefault="007653D6" w:rsidP="007653D6">
      <w:pPr>
        <w:pStyle w:val="Heading2"/>
        <w:shd w:val="clear" w:color="auto" w:fill="auto"/>
        <w:jc w:val="both"/>
        <w:rPr>
          <w:rFonts w:asciiTheme="minorHAnsi" w:hAnsiTheme="minorHAnsi"/>
        </w:rPr>
      </w:pPr>
      <w:bookmarkStart w:id="0" w:name="_Toc414197214"/>
      <w:bookmarkStart w:id="1" w:name="_GoBack"/>
      <w:bookmarkEnd w:id="1"/>
      <w:r>
        <w:rPr>
          <w:rFonts w:asciiTheme="minorHAnsi" w:hAnsiTheme="minorHAnsi"/>
        </w:rPr>
        <w:t>A4</w:t>
      </w:r>
      <w:r w:rsidRPr="0025141C">
        <w:rPr>
          <w:rFonts w:asciiTheme="minorHAnsi" w:hAnsiTheme="minorHAnsi"/>
        </w:rPr>
        <w:t xml:space="preserve">:  </w:t>
      </w:r>
      <w:r>
        <w:rPr>
          <w:rFonts w:asciiTheme="minorHAnsi" w:hAnsiTheme="minorHAnsi"/>
        </w:rPr>
        <w:t>PRIORITISING REQUESTS FOR SERVICE</w:t>
      </w:r>
      <w:bookmarkEnd w:id="0"/>
    </w:p>
    <w:p w:rsidR="007653D6" w:rsidRDefault="007653D6" w:rsidP="007653D6">
      <w:pPr>
        <w:pStyle w:val="Heading4"/>
        <w:jc w:val="both"/>
        <w:rPr>
          <w:rFonts w:asciiTheme="minorHAnsi" w:hAnsiTheme="minorHAnsi"/>
        </w:rPr>
      </w:pPr>
    </w:p>
    <w:p w:rsidR="007653D6" w:rsidRPr="006C7CFA" w:rsidRDefault="007653D6" w:rsidP="007653D6">
      <w:pPr>
        <w:pStyle w:val="Heading4"/>
        <w:jc w:val="both"/>
        <w:rPr>
          <w:rFonts w:asciiTheme="minorHAnsi" w:hAnsiTheme="minorHAnsi"/>
        </w:rPr>
      </w:pPr>
      <w:r w:rsidRPr="006C7CFA">
        <w:rPr>
          <w:rFonts w:asciiTheme="minorHAnsi" w:hAnsiTheme="minorHAnsi"/>
        </w:rPr>
        <w:t>POLICY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7653D6" w:rsidRPr="00AA61CB" w:rsidTr="00040E82">
        <w:tc>
          <w:tcPr>
            <w:tcW w:w="9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53D6" w:rsidRPr="00AA61CB" w:rsidRDefault="007653D6" w:rsidP="00040E82">
            <w:pPr>
              <w:pStyle w:val="BodyText"/>
              <w:spacing w:before="120"/>
              <w:jc w:val="both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Community Gateway</w:t>
            </w:r>
            <w:r w:rsidRPr="00AA61CB">
              <w:rPr>
                <w:rFonts w:ascii="Calibri" w:hAnsi="Calibri"/>
                <w:szCs w:val="24"/>
              </w:rPr>
              <w:t xml:space="preserve"> has criteria to determine eligibility and to prioritise </w:t>
            </w:r>
            <w:r>
              <w:rPr>
                <w:rFonts w:ascii="Calibri" w:hAnsi="Calibri"/>
                <w:szCs w:val="24"/>
              </w:rPr>
              <w:t>client</w:t>
            </w:r>
            <w:r w:rsidRPr="00AA61CB">
              <w:rPr>
                <w:rFonts w:ascii="Calibri" w:hAnsi="Calibri"/>
                <w:szCs w:val="24"/>
              </w:rPr>
              <w:t xml:space="preserve"> level of need.  Capacity is determined by available funding within each program.</w:t>
            </w:r>
          </w:p>
        </w:tc>
      </w:tr>
    </w:tbl>
    <w:p w:rsidR="007653D6" w:rsidRPr="00AA61CB" w:rsidRDefault="007653D6" w:rsidP="007653D6">
      <w:pPr>
        <w:pStyle w:val="BodyText"/>
        <w:jc w:val="both"/>
        <w:rPr>
          <w:rFonts w:ascii="Calibri" w:hAnsi="Calibri"/>
          <w:szCs w:val="24"/>
        </w:rPr>
      </w:pPr>
    </w:p>
    <w:p w:rsidR="007653D6" w:rsidRPr="00AA61CB" w:rsidRDefault="007653D6" w:rsidP="007653D6">
      <w:pPr>
        <w:pStyle w:val="Heading4"/>
        <w:jc w:val="both"/>
        <w:rPr>
          <w:szCs w:val="24"/>
        </w:rPr>
      </w:pPr>
      <w:r w:rsidRPr="00AA61CB">
        <w:rPr>
          <w:szCs w:val="24"/>
        </w:rPr>
        <w:t>PROCEDURE</w:t>
      </w:r>
    </w:p>
    <w:p w:rsidR="007653D6" w:rsidRPr="00AA61CB" w:rsidRDefault="007653D6" w:rsidP="007653D6">
      <w:pPr>
        <w:pStyle w:val="BodyText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The Prioritisation Tool is used to determine priority of access.  In addition to the Prioritisation Tool, the following facto</w:t>
      </w:r>
      <w:r w:rsidR="005F1A14">
        <w:rPr>
          <w:rFonts w:ascii="Calibri" w:hAnsi="Calibri"/>
          <w:szCs w:val="24"/>
        </w:rPr>
        <w:t>rs are taken into consideration:</w:t>
      </w:r>
    </w:p>
    <w:p w:rsidR="007653D6" w:rsidRPr="00AA61CB" w:rsidRDefault="007653D6" w:rsidP="007653D6">
      <w:pPr>
        <w:pStyle w:val="Heading4"/>
        <w:jc w:val="both"/>
        <w:rPr>
          <w:szCs w:val="24"/>
        </w:rPr>
      </w:pPr>
      <w:bookmarkStart w:id="2" w:name="_Toc104801377"/>
      <w:r>
        <w:rPr>
          <w:szCs w:val="24"/>
        </w:rPr>
        <w:t>Client</w:t>
      </w:r>
      <w:r w:rsidRPr="00AA61CB">
        <w:rPr>
          <w:szCs w:val="24"/>
        </w:rPr>
        <w:t>s</w:t>
      </w:r>
      <w:bookmarkEnd w:id="2"/>
      <w:r w:rsidRPr="00AA61CB">
        <w:rPr>
          <w:szCs w:val="24"/>
        </w:rPr>
        <w:t xml:space="preserve"> 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high dependency/complex care needs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has no carer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date of referral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cognitive impairment/dementia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lives alone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is financially disadvantaged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is at risk of premature or inappropriate residential care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rural remote location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environmental – accommodation instability/unsuitability, modifications, squalor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social isolation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 xml:space="preserve">lack of family/social supports 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challenging behaviours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mental health/dual diagnosis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rPr>
          <w:rFonts w:ascii="Calibri" w:hAnsi="Calibri"/>
          <w:szCs w:val="24"/>
          <w:lang w:eastAsia="en-AU"/>
        </w:rPr>
      </w:pPr>
      <w:r w:rsidRPr="00AA61CB">
        <w:rPr>
          <w:rFonts w:ascii="Calibri" w:hAnsi="Calibri"/>
          <w:szCs w:val="24"/>
        </w:rPr>
        <w:t>multiple presentations to hospital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ATSI or CALD or other cultural barriers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abuse, neglect, domestic violence</w:t>
      </w:r>
    </w:p>
    <w:p w:rsidR="007653D6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bookmarkStart w:id="3" w:name="_Toc104801378"/>
      <w:r w:rsidRPr="00AA61CB">
        <w:rPr>
          <w:rFonts w:ascii="Calibri" w:hAnsi="Calibri"/>
          <w:szCs w:val="24"/>
        </w:rPr>
        <w:t>carer issues – stress, conflict, instability, young carer</w:t>
      </w:r>
      <w:r w:rsidR="005F1A14">
        <w:rPr>
          <w:rFonts w:ascii="Calibri" w:hAnsi="Calibri"/>
          <w:szCs w:val="24"/>
        </w:rPr>
        <w:t>.</w:t>
      </w:r>
    </w:p>
    <w:p w:rsidR="005F1A14" w:rsidRPr="00AA61CB" w:rsidRDefault="005F1A14" w:rsidP="005F1A14">
      <w:pPr>
        <w:pStyle w:val="ListBullet2"/>
        <w:numPr>
          <w:ilvl w:val="0"/>
          <w:numId w:val="0"/>
        </w:numPr>
        <w:ind w:left="660"/>
        <w:jc w:val="both"/>
        <w:rPr>
          <w:rFonts w:ascii="Calibri" w:hAnsi="Calibri"/>
          <w:szCs w:val="24"/>
        </w:rPr>
      </w:pPr>
    </w:p>
    <w:bookmarkEnd w:id="3"/>
    <w:p w:rsidR="007653D6" w:rsidRPr="00AA61CB" w:rsidRDefault="007653D6" w:rsidP="007653D6">
      <w:pPr>
        <w:pStyle w:val="Heading4"/>
        <w:jc w:val="both"/>
        <w:rPr>
          <w:szCs w:val="24"/>
        </w:rPr>
      </w:pPr>
      <w:r>
        <w:rPr>
          <w:szCs w:val="24"/>
        </w:rPr>
        <w:t>If s</w:t>
      </w:r>
      <w:r w:rsidRPr="00AA61CB">
        <w:rPr>
          <w:szCs w:val="24"/>
        </w:rPr>
        <w:t>ervice is not provided for any reason: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the person requesting service should be advised immediately giving reasons why the service will not be provided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information will be provided on other available services and if appropriate a referral should be arranged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the eligibility and priority criteria for </w:t>
      </w:r>
      <w:r>
        <w:rPr>
          <w:rFonts w:ascii="Calibri" w:hAnsi="Calibri"/>
          <w:szCs w:val="24"/>
        </w:rPr>
        <w:t>Community Gateway</w:t>
      </w:r>
      <w:r w:rsidRPr="00AA61CB">
        <w:rPr>
          <w:rFonts w:ascii="Calibri" w:hAnsi="Calibri"/>
          <w:szCs w:val="24"/>
        </w:rPr>
        <w:t xml:space="preserve"> services will be provided and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lastRenderedPageBreak/>
        <w:t>the person will be made aware of the grievance and complaints policy and procedure if requested.</w:t>
      </w:r>
    </w:p>
    <w:p w:rsidR="007653D6" w:rsidRPr="00AA61CB" w:rsidRDefault="007653D6" w:rsidP="007653D6">
      <w:pPr>
        <w:pStyle w:val="BodyText"/>
        <w:jc w:val="both"/>
        <w:rPr>
          <w:rFonts w:ascii="Calibri" w:hAnsi="Calibri"/>
          <w:szCs w:val="24"/>
        </w:rPr>
      </w:pPr>
    </w:p>
    <w:p w:rsidR="007653D6" w:rsidRPr="00AA61CB" w:rsidRDefault="007653D6" w:rsidP="007653D6">
      <w:pPr>
        <w:pStyle w:val="Heading4"/>
        <w:jc w:val="both"/>
        <w:rPr>
          <w:szCs w:val="24"/>
        </w:rPr>
      </w:pPr>
      <w:r>
        <w:rPr>
          <w:szCs w:val="24"/>
        </w:rPr>
        <w:t>If the client and/or c</w:t>
      </w:r>
      <w:r w:rsidRPr="00AA61CB">
        <w:rPr>
          <w:szCs w:val="24"/>
        </w:rPr>
        <w:t>ar</w:t>
      </w:r>
      <w:r>
        <w:rPr>
          <w:szCs w:val="24"/>
        </w:rPr>
        <w:t>er are put on a waiting l</w:t>
      </w:r>
      <w:r w:rsidRPr="00AA61CB">
        <w:rPr>
          <w:szCs w:val="24"/>
        </w:rPr>
        <w:t>ist: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the person will be advised and given an approximate waiting time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information will be provided on alternative services available in the community, and a referral should be made if appropriate</w:t>
      </w:r>
    </w:p>
    <w:p w:rsidR="007653D6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the </w:t>
      </w:r>
      <w:r>
        <w:rPr>
          <w:rFonts w:ascii="Calibri" w:hAnsi="Calibri"/>
          <w:szCs w:val="24"/>
        </w:rPr>
        <w:t>client</w:t>
      </w:r>
      <w:r w:rsidRPr="00AA61CB">
        <w:rPr>
          <w:rFonts w:ascii="Calibri" w:hAnsi="Calibri"/>
          <w:szCs w:val="24"/>
        </w:rPr>
        <w:t xml:space="preserve"> and/or carer will be made aware of </w:t>
      </w:r>
      <w:r>
        <w:rPr>
          <w:rFonts w:ascii="Calibri" w:hAnsi="Calibri"/>
          <w:szCs w:val="24"/>
        </w:rPr>
        <w:t>Community Gateway</w:t>
      </w:r>
      <w:r w:rsidRPr="00AA61CB">
        <w:rPr>
          <w:rFonts w:ascii="Calibri" w:hAnsi="Calibri"/>
          <w:szCs w:val="24"/>
        </w:rPr>
        <w:t xml:space="preserve"> complaints policy and procedure if requested.</w:t>
      </w:r>
    </w:p>
    <w:p w:rsidR="005F1A14" w:rsidRPr="00AA61CB" w:rsidRDefault="005F1A14" w:rsidP="005F1A14">
      <w:pPr>
        <w:pStyle w:val="ListBullet2"/>
        <w:numPr>
          <w:ilvl w:val="0"/>
          <w:numId w:val="0"/>
        </w:numPr>
        <w:ind w:left="660"/>
        <w:jc w:val="both"/>
        <w:rPr>
          <w:rFonts w:ascii="Calibri" w:hAnsi="Calibri"/>
          <w:szCs w:val="24"/>
        </w:rPr>
      </w:pPr>
    </w:p>
    <w:p w:rsidR="007653D6" w:rsidRPr="00AA61CB" w:rsidRDefault="007653D6" w:rsidP="007653D6">
      <w:pPr>
        <w:pStyle w:val="Heading4"/>
        <w:jc w:val="both"/>
        <w:rPr>
          <w:szCs w:val="24"/>
        </w:rPr>
      </w:pPr>
      <w:r w:rsidRPr="00AA61CB">
        <w:rPr>
          <w:szCs w:val="24"/>
        </w:rPr>
        <w:t>MEASUREMENT</w:t>
      </w:r>
    </w:p>
    <w:p w:rsidR="007653D6" w:rsidRPr="00AA61CB" w:rsidRDefault="005F1A14" w:rsidP="007653D6">
      <w:pPr>
        <w:pStyle w:val="BodyText"/>
        <w:spacing w:after="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Prioritisation Tool</w:t>
      </w:r>
      <w:r w:rsidR="007653D6" w:rsidRPr="00AA61CB">
        <w:rPr>
          <w:rFonts w:ascii="Calibri" w:hAnsi="Calibri"/>
          <w:szCs w:val="24"/>
        </w:rPr>
        <w:t xml:space="preserve"> completed and in </w:t>
      </w:r>
      <w:r w:rsidR="007653D6">
        <w:rPr>
          <w:rFonts w:ascii="Calibri" w:hAnsi="Calibri"/>
          <w:szCs w:val="24"/>
        </w:rPr>
        <w:t>client</w:t>
      </w:r>
      <w:r w:rsidR="007653D6" w:rsidRPr="00AA61CB">
        <w:rPr>
          <w:rFonts w:ascii="Calibri" w:hAnsi="Calibri"/>
          <w:szCs w:val="24"/>
        </w:rPr>
        <w:t xml:space="preserve"> files.     </w:t>
      </w:r>
    </w:p>
    <w:p w:rsidR="005F1A14" w:rsidRDefault="007653D6" w:rsidP="007653D6">
      <w:pPr>
        <w:pStyle w:val="BodyText"/>
        <w:spacing w:after="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Information collected at referral</w:t>
      </w:r>
      <w:r w:rsidR="005F1A14">
        <w:rPr>
          <w:rFonts w:ascii="Calibri" w:hAnsi="Calibri"/>
          <w:szCs w:val="24"/>
        </w:rPr>
        <w:t>.</w:t>
      </w:r>
    </w:p>
    <w:p w:rsidR="007653D6" w:rsidRPr="00AA61CB" w:rsidRDefault="007653D6" w:rsidP="007653D6">
      <w:pPr>
        <w:pStyle w:val="BodyText"/>
        <w:spacing w:after="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 xml:space="preserve">  </w:t>
      </w:r>
    </w:p>
    <w:p w:rsidR="007653D6" w:rsidRPr="00AA61CB" w:rsidRDefault="007653D6" w:rsidP="007653D6">
      <w:pPr>
        <w:pStyle w:val="Heading4"/>
        <w:jc w:val="both"/>
        <w:rPr>
          <w:szCs w:val="24"/>
        </w:rPr>
      </w:pPr>
      <w:r w:rsidRPr="00AA61CB">
        <w:rPr>
          <w:szCs w:val="24"/>
        </w:rPr>
        <w:t>RESPONSIBILITIES</w:t>
      </w:r>
    </w:p>
    <w:p w:rsidR="007653D6" w:rsidRPr="00AA61CB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 w:rsidRPr="00AA61CB">
        <w:rPr>
          <w:rFonts w:ascii="Calibri" w:hAnsi="Calibri"/>
          <w:szCs w:val="24"/>
        </w:rPr>
        <w:t>Chief Executive Officer</w:t>
      </w:r>
    </w:p>
    <w:p w:rsidR="007653D6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Director</w:t>
      </w:r>
      <w:r w:rsidR="005F1A14">
        <w:rPr>
          <w:rFonts w:ascii="Calibri" w:hAnsi="Calibri"/>
          <w:szCs w:val="24"/>
        </w:rPr>
        <w:t>/Manager</w:t>
      </w:r>
    </w:p>
    <w:p w:rsidR="005F1A14" w:rsidRPr="00AA61CB" w:rsidRDefault="005F1A14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Team Leaders</w:t>
      </w:r>
    </w:p>
    <w:p w:rsidR="007653D6" w:rsidRDefault="007653D6" w:rsidP="007653D6">
      <w:pPr>
        <w:pStyle w:val="ListBullet2"/>
        <w:tabs>
          <w:tab w:val="clear" w:pos="360"/>
          <w:tab w:val="num" w:pos="660"/>
        </w:tabs>
        <w:ind w:left="660" w:hanging="360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Operational staff</w:t>
      </w:r>
    </w:p>
    <w:p w:rsidR="005F1A14" w:rsidRPr="00AA61CB" w:rsidRDefault="005F1A14" w:rsidP="005F1A14">
      <w:pPr>
        <w:pStyle w:val="ListBullet2"/>
        <w:numPr>
          <w:ilvl w:val="0"/>
          <w:numId w:val="0"/>
        </w:numPr>
        <w:ind w:left="660"/>
        <w:jc w:val="both"/>
        <w:rPr>
          <w:rFonts w:ascii="Calibri" w:hAnsi="Calibri"/>
          <w:szCs w:val="24"/>
        </w:rPr>
      </w:pPr>
    </w:p>
    <w:p w:rsidR="007653D6" w:rsidRPr="00AA61CB" w:rsidRDefault="007653D6" w:rsidP="007653D6">
      <w:pPr>
        <w:pStyle w:val="Heading4"/>
        <w:jc w:val="both"/>
        <w:rPr>
          <w:szCs w:val="24"/>
        </w:rPr>
      </w:pPr>
      <w:r w:rsidRPr="00AA61CB">
        <w:rPr>
          <w:szCs w:val="24"/>
        </w:rPr>
        <w:t>STANDARDS and COMPLIANCE</w:t>
      </w:r>
    </w:p>
    <w:p w:rsidR="007653D6" w:rsidRPr="00AA61CB" w:rsidRDefault="007653D6" w:rsidP="007653D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4" w:name="_Toc273366977"/>
      <w:bookmarkStart w:id="5" w:name="_Toc273378771"/>
      <w:bookmarkStart w:id="6" w:name="_Toc278799752"/>
      <w:bookmarkStart w:id="7" w:name="_Toc315645109"/>
      <w:bookmarkStart w:id="8" w:name="_Toc315722396"/>
      <w:bookmarkStart w:id="9" w:name="_Toc316459618"/>
      <w:bookmarkStart w:id="10" w:name="_Toc327952269"/>
      <w:bookmarkStart w:id="11" w:name="_Toc350849473"/>
      <w:bookmarkStart w:id="12" w:name="_Toc373757248"/>
      <w:bookmarkStart w:id="13" w:name="_Toc374368832"/>
      <w:bookmarkStart w:id="14" w:name="_Toc398218786"/>
      <w:bookmarkStart w:id="15" w:name="_Toc414193875"/>
      <w:bookmarkStart w:id="16" w:name="_Toc414197215"/>
      <w:r w:rsidRPr="00AA61CB">
        <w:rPr>
          <w:rFonts w:ascii="Calibri" w:hAnsi="Calibri" w:cs="Arial"/>
          <w:i/>
          <w:spacing w:val="-3"/>
        </w:rPr>
        <w:t xml:space="preserve">Community Care </w:t>
      </w:r>
      <w:bookmarkEnd w:id="4"/>
      <w:bookmarkEnd w:id="5"/>
      <w:bookmarkEnd w:id="6"/>
      <w:r w:rsidRPr="00AA61CB">
        <w:rPr>
          <w:rFonts w:ascii="Calibri" w:hAnsi="Calibri" w:cs="Arial"/>
          <w:i/>
          <w:spacing w:val="-3"/>
        </w:rPr>
        <w:t>Common Standard 2.1:  Service Access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7653D6" w:rsidRPr="00AA61CB" w:rsidRDefault="007653D6" w:rsidP="007653D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17" w:name="_Toc315645110"/>
      <w:bookmarkStart w:id="18" w:name="_Toc315722397"/>
      <w:bookmarkStart w:id="19" w:name="_Toc316459619"/>
      <w:bookmarkStart w:id="20" w:name="_Toc327952270"/>
      <w:bookmarkStart w:id="21" w:name="_Toc350849474"/>
      <w:bookmarkStart w:id="22" w:name="_Toc373757249"/>
      <w:bookmarkStart w:id="23" w:name="_Toc374368833"/>
      <w:bookmarkStart w:id="24" w:name="_Toc398218787"/>
      <w:bookmarkStart w:id="25" w:name="_Toc414193876"/>
      <w:bookmarkStart w:id="26" w:name="_Toc414197216"/>
      <w:r w:rsidRPr="00AA61CB">
        <w:rPr>
          <w:rFonts w:ascii="Calibri" w:hAnsi="Calibri" w:cs="Arial"/>
          <w:i/>
          <w:spacing w:val="-3"/>
        </w:rPr>
        <w:t>Community Care Common Standard 2.2:  Assessment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7653D6" w:rsidRPr="00AA61CB" w:rsidRDefault="007653D6" w:rsidP="007653D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27" w:name="_Toc315645111"/>
      <w:bookmarkStart w:id="28" w:name="_Toc315722398"/>
      <w:bookmarkStart w:id="29" w:name="_Toc316459620"/>
      <w:bookmarkStart w:id="30" w:name="_Toc327952271"/>
      <w:bookmarkStart w:id="31" w:name="_Toc350849475"/>
      <w:bookmarkStart w:id="32" w:name="_Toc373757250"/>
      <w:bookmarkStart w:id="33" w:name="_Toc374368834"/>
      <w:bookmarkStart w:id="34" w:name="_Toc398218788"/>
      <w:bookmarkStart w:id="35" w:name="_Toc414193877"/>
      <w:bookmarkStart w:id="36" w:name="_Toc414197217"/>
      <w:r w:rsidRPr="00AA61CB">
        <w:rPr>
          <w:rFonts w:ascii="Calibri" w:hAnsi="Calibri" w:cs="Arial"/>
          <w:i/>
          <w:spacing w:val="-3"/>
        </w:rPr>
        <w:t xml:space="preserve">Community Care Common Standard 2.4:  </w:t>
      </w:r>
      <w:r>
        <w:rPr>
          <w:rFonts w:ascii="Calibri" w:hAnsi="Calibri" w:cs="Arial"/>
          <w:i/>
          <w:spacing w:val="-3"/>
        </w:rPr>
        <w:t>Client</w:t>
      </w:r>
      <w:r w:rsidRPr="00AA61CB">
        <w:rPr>
          <w:rFonts w:ascii="Calibri" w:hAnsi="Calibri" w:cs="Arial"/>
          <w:i/>
          <w:spacing w:val="-3"/>
        </w:rPr>
        <w:t xml:space="preserve"> Reassessment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653D6" w:rsidRPr="00AA61CB" w:rsidRDefault="007653D6" w:rsidP="007653D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37" w:name="_Toc315645112"/>
      <w:bookmarkStart w:id="38" w:name="_Toc315722399"/>
      <w:bookmarkStart w:id="39" w:name="_Toc316459621"/>
      <w:bookmarkStart w:id="40" w:name="_Toc327952272"/>
      <w:bookmarkStart w:id="41" w:name="_Toc350849476"/>
      <w:bookmarkStart w:id="42" w:name="_Toc373757251"/>
      <w:bookmarkStart w:id="43" w:name="_Toc374368835"/>
      <w:bookmarkStart w:id="44" w:name="_Toc398218789"/>
      <w:bookmarkStart w:id="45" w:name="_Toc414193878"/>
      <w:bookmarkStart w:id="46" w:name="_Toc414197218"/>
      <w:r w:rsidRPr="00AA61CB">
        <w:rPr>
          <w:rFonts w:ascii="Calibri" w:hAnsi="Calibri" w:cs="Arial"/>
          <w:i/>
          <w:spacing w:val="-3"/>
        </w:rPr>
        <w:t xml:space="preserve">Community Care Common Standard 2.5:  </w:t>
      </w:r>
      <w:r>
        <w:rPr>
          <w:rFonts w:ascii="Calibri" w:hAnsi="Calibri" w:cs="Arial"/>
          <w:i/>
          <w:spacing w:val="-3"/>
        </w:rPr>
        <w:t>Client</w:t>
      </w:r>
      <w:r w:rsidRPr="00AA61CB">
        <w:rPr>
          <w:rFonts w:ascii="Calibri" w:hAnsi="Calibri" w:cs="Arial"/>
          <w:i/>
          <w:spacing w:val="-3"/>
        </w:rPr>
        <w:t xml:space="preserve"> Referral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:rsidR="007653D6" w:rsidRPr="00AA61CB" w:rsidRDefault="007653D6" w:rsidP="007653D6">
      <w:pPr>
        <w:numPr>
          <w:ilvl w:val="12"/>
          <w:numId w:val="0"/>
        </w:numPr>
        <w:tabs>
          <w:tab w:val="left" w:pos="-189"/>
          <w:tab w:val="left" w:pos="0"/>
          <w:tab w:val="left" w:pos="378"/>
          <w:tab w:val="left" w:pos="944"/>
          <w:tab w:val="left" w:pos="2077"/>
          <w:tab w:val="left" w:pos="2643"/>
          <w:tab w:val="left" w:pos="3210"/>
          <w:tab w:val="left" w:pos="3776"/>
          <w:tab w:val="left" w:pos="4343"/>
          <w:tab w:val="left" w:pos="4909"/>
          <w:tab w:val="left" w:pos="5475"/>
          <w:tab w:val="left" w:pos="6042"/>
          <w:tab w:val="left" w:pos="6608"/>
          <w:tab w:val="left" w:pos="7175"/>
          <w:tab w:val="left" w:pos="7741"/>
        </w:tabs>
        <w:suppressAutoHyphens/>
        <w:jc w:val="both"/>
        <w:outlineLvl w:val="0"/>
        <w:rPr>
          <w:rFonts w:ascii="Calibri" w:hAnsi="Calibri" w:cs="Arial"/>
          <w:i/>
          <w:spacing w:val="-3"/>
        </w:rPr>
      </w:pPr>
      <w:bookmarkStart w:id="47" w:name="_Toc315645113"/>
      <w:bookmarkStart w:id="48" w:name="_Toc315722400"/>
      <w:bookmarkStart w:id="49" w:name="_Toc316459622"/>
      <w:bookmarkStart w:id="50" w:name="_Toc327952273"/>
      <w:bookmarkStart w:id="51" w:name="_Toc350849477"/>
      <w:bookmarkStart w:id="52" w:name="_Toc373757252"/>
      <w:bookmarkStart w:id="53" w:name="_Toc374368836"/>
      <w:bookmarkStart w:id="54" w:name="_Toc398218790"/>
      <w:bookmarkStart w:id="55" w:name="_Toc414193879"/>
      <w:bookmarkStart w:id="56" w:name="_Toc414197219"/>
      <w:r w:rsidRPr="00AA61CB">
        <w:rPr>
          <w:rFonts w:ascii="Calibri" w:hAnsi="Calibri" w:cs="Arial"/>
          <w:i/>
          <w:spacing w:val="-3"/>
        </w:rPr>
        <w:t>Community Care Common Standard 3.1:  Information Provision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7653D6" w:rsidRPr="00AA61CB" w:rsidRDefault="007653D6" w:rsidP="007653D6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rFonts w:ascii="Calibri" w:hAnsi="Calibri"/>
          <w:i/>
        </w:rPr>
      </w:pPr>
      <w:bookmarkStart w:id="57" w:name="_Toc398218791"/>
      <w:bookmarkStart w:id="58" w:name="_Toc414193880"/>
      <w:bookmarkStart w:id="59" w:name="_Toc414197220"/>
      <w:r>
        <w:rPr>
          <w:rFonts w:ascii="Calibri" w:hAnsi="Calibri"/>
          <w:i/>
        </w:rPr>
        <w:t>Disability Service Standard 5: Service Access</w:t>
      </w:r>
      <w:bookmarkEnd w:id="57"/>
      <w:bookmarkEnd w:id="58"/>
      <w:bookmarkEnd w:id="59"/>
    </w:p>
    <w:p w:rsidR="007653D6" w:rsidRPr="00AA61CB" w:rsidRDefault="007653D6" w:rsidP="007653D6">
      <w:pPr>
        <w:numPr>
          <w:ilvl w:val="12"/>
          <w:numId w:val="0"/>
        </w:numPr>
        <w:tabs>
          <w:tab w:val="right" w:pos="-189"/>
          <w:tab w:val="right" w:pos="7182"/>
          <w:tab w:val="left" w:pos="7741"/>
        </w:tabs>
        <w:suppressAutoHyphens/>
        <w:outlineLvl w:val="0"/>
        <w:rPr>
          <w:rFonts w:ascii="Calibri" w:hAnsi="Calibri"/>
          <w:i/>
        </w:rPr>
      </w:pPr>
      <w:bookmarkStart w:id="60" w:name="_Toc273366979"/>
      <w:bookmarkStart w:id="61" w:name="_Toc273378773"/>
      <w:bookmarkStart w:id="62" w:name="_Toc278799754"/>
      <w:bookmarkStart w:id="63" w:name="_Toc315645115"/>
      <w:bookmarkStart w:id="64" w:name="_Toc315722402"/>
      <w:bookmarkStart w:id="65" w:name="_Toc316459624"/>
      <w:bookmarkStart w:id="66" w:name="_Toc327952275"/>
      <w:bookmarkStart w:id="67" w:name="_Toc350849479"/>
      <w:bookmarkStart w:id="68" w:name="_Toc373757254"/>
      <w:bookmarkStart w:id="69" w:name="_Toc374368838"/>
      <w:bookmarkStart w:id="70" w:name="_Toc398218792"/>
      <w:bookmarkStart w:id="71" w:name="_Toc414193881"/>
      <w:bookmarkStart w:id="72" w:name="_Toc414197221"/>
      <w:r>
        <w:rPr>
          <w:rFonts w:ascii="Calibri" w:hAnsi="Calibri"/>
          <w:i/>
        </w:rPr>
        <w:t>Disability Service Standard 6</w:t>
      </w:r>
      <w:r w:rsidRPr="00AA61CB">
        <w:rPr>
          <w:rFonts w:ascii="Calibri" w:hAnsi="Calibri"/>
          <w:i/>
        </w:rPr>
        <w:t>: Service Management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p w:rsidR="007653D6" w:rsidRPr="00AA61CB" w:rsidRDefault="007653D6" w:rsidP="007653D6">
      <w:pPr>
        <w:pStyle w:val="BodyText3"/>
        <w:jc w:val="both"/>
        <w:rPr>
          <w:rFonts w:ascii="Calibri" w:hAnsi="Calibri"/>
          <w:sz w:val="24"/>
          <w:szCs w:val="24"/>
        </w:rPr>
      </w:pPr>
    </w:p>
    <w:p w:rsidR="007653D6" w:rsidRPr="00AA61CB" w:rsidRDefault="007653D6" w:rsidP="007653D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 w:rsidRPr="00AA61CB">
        <w:rPr>
          <w:rFonts w:ascii="Calibri" w:hAnsi="Calibri"/>
          <w:b/>
          <w:spacing w:val="-3"/>
        </w:rPr>
        <w:t>OTHER RELEVANT POLICIES</w:t>
      </w:r>
    </w:p>
    <w:p w:rsidR="007653D6" w:rsidRPr="00714538" w:rsidRDefault="007653D6" w:rsidP="007653D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A1 Access to Services</w:t>
      </w:r>
    </w:p>
    <w:p w:rsidR="007653D6" w:rsidRPr="00AA61CB" w:rsidRDefault="007653D6" w:rsidP="007653D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A2 Principles of Service Delivery</w:t>
      </w:r>
    </w:p>
    <w:p w:rsidR="007653D6" w:rsidRDefault="005F1A14" w:rsidP="007653D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P2 Intake</w:t>
      </w:r>
    </w:p>
    <w:p w:rsidR="000A7C69" w:rsidRPr="00AA61CB" w:rsidRDefault="000A7C69" w:rsidP="007653D6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  <w:rPr>
          <w:rFonts w:ascii="Calibri" w:hAnsi="Calibri"/>
          <w:b/>
          <w:spacing w:val="-3"/>
        </w:rPr>
      </w:pPr>
      <w:r>
        <w:rPr>
          <w:rFonts w:ascii="Calibri" w:hAnsi="Calibri"/>
          <w:b/>
          <w:spacing w:val="-3"/>
        </w:rPr>
        <w:t>P3 Planning and Support</w:t>
      </w:r>
    </w:p>
    <w:p w:rsidR="00BA0ABE" w:rsidRDefault="007653D6" w:rsidP="005F1A14">
      <w:pPr>
        <w:tabs>
          <w:tab w:val="left" w:pos="949"/>
          <w:tab w:val="left" w:pos="2083"/>
          <w:tab w:val="left" w:pos="3217"/>
          <w:tab w:val="left" w:pos="4351"/>
          <w:tab w:val="left" w:pos="5485"/>
          <w:tab w:val="right" w:leader="dot" w:pos="6619"/>
          <w:tab w:val="left" w:pos="7015"/>
          <w:tab w:val="left" w:pos="7735"/>
        </w:tabs>
        <w:suppressAutoHyphens/>
        <w:jc w:val="both"/>
      </w:pPr>
      <w:r>
        <w:rPr>
          <w:rFonts w:ascii="Calibri" w:hAnsi="Calibri"/>
          <w:b/>
          <w:spacing w:val="-3"/>
        </w:rPr>
        <w:lastRenderedPageBreak/>
        <w:t>P5 Monitoring</w:t>
      </w:r>
      <w:r w:rsidR="000A7C69">
        <w:rPr>
          <w:rFonts w:ascii="Calibri" w:hAnsi="Calibri"/>
          <w:b/>
          <w:spacing w:val="-3"/>
        </w:rPr>
        <w:t xml:space="preserve"> Client Support Plan</w:t>
      </w:r>
      <w:r w:rsidR="00367A49">
        <w:rPr>
          <w:rFonts w:ascii="Calibri" w:hAnsi="Calibri"/>
          <w:b/>
          <w:spacing w:val="-3"/>
        </w:rPr>
        <w:t>s</w:t>
      </w:r>
      <w:r w:rsidR="000A7C69">
        <w:rPr>
          <w:rFonts w:ascii="Calibri" w:hAnsi="Calibri"/>
          <w:b/>
          <w:spacing w:val="-3"/>
        </w:rPr>
        <w:t xml:space="preserve"> and Service Delivery</w:t>
      </w:r>
    </w:p>
    <w:sectPr w:rsidR="00BA0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A08A7DAC"/>
    <w:lvl w:ilvl="0">
      <w:start w:val="1"/>
      <w:numFmt w:val="bullet"/>
      <w:pStyle w:val="ListBullet2"/>
      <w:lvlText w:val=""/>
      <w:lvlJc w:val="left"/>
      <w:pPr>
        <w:tabs>
          <w:tab w:val="num" w:pos="660"/>
        </w:tabs>
        <w:ind w:left="660" w:hanging="360"/>
      </w:pPr>
      <w:rPr>
        <w:rFonts w:ascii="Symbol" w:hAnsi="Symbol" w:hint="default"/>
        <w:color w:val="auto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5F"/>
    <w:rsid w:val="000079D1"/>
    <w:rsid w:val="00011FD8"/>
    <w:rsid w:val="000369D5"/>
    <w:rsid w:val="000551B4"/>
    <w:rsid w:val="00057136"/>
    <w:rsid w:val="000A7C69"/>
    <w:rsid w:val="000B41BB"/>
    <w:rsid w:val="000D51EB"/>
    <w:rsid w:val="000E2931"/>
    <w:rsid w:val="0010304A"/>
    <w:rsid w:val="00182978"/>
    <w:rsid w:val="002738E8"/>
    <w:rsid w:val="002A0B5E"/>
    <w:rsid w:val="002B65CF"/>
    <w:rsid w:val="00311585"/>
    <w:rsid w:val="0035247A"/>
    <w:rsid w:val="00364782"/>
    <w:rsid w:val="00367A49"/>
    <w:rsid w:val="003A7A7F"/>
    <w:rsid w:val="00402D5F"/>
    <w:rsid w:val="004402FF"/>
    <w:rsid w:val="00470232"/>
    <w:rsid w:val="004D4FC7"/>
    <w:rsid w:val="005A0DC6"/>
    <w:rsid w:val="005E43C3"/>
    <w:rsid w:val="005F1A14"/>
    <w:rsid w:val="00645D29"/>
    <w:rsid w:val="00650D8E"/>
    <w:rsid w:val="006B6EF5"/>
    <w:rsid w:val="007014AB"/>
    <w:rsid w:val="007179B3"/>
    <w:rsid w:val="0072687E"/>
    <w:rsid w:val="007653D6"/>
    <w:rsid w:val="0078475C"/>
    <w:rsid w:val="008068AE"/>
    <w:rsid w:val="008155F5"/>
    <w:rsid w:val="00941D95"/>
    <w:rsid w:val="009C53CF"/>
    <w:rsid w:val="00AF32F7"/>
    <w:rsid w:val="00B50FE1"/>
    <w:rsid w:val="00B96792"/>
    <w:rsid w:val="00BA0ABE"/>
    <w:rsid w:val="00BC34E9"/>
    <w:rsid w:val="00BD77A6"/>
    <w:rsid w:val="00BF0D04"/>
    <w:rsid w:val="00C21908"/>
    <w:rsid w:val="00D4635A"/>
    <w:rsid w:val="00DF1995"/>
    <w:rsid w:val="00E54CDC"/>
    <w:rsid w:val="00E60D3B"/>
    <w:rsid w:val="00F32C62"/>
    <w:rsid w:val="00F56070"/>
    <w:rsid w:val="00F6023F"/>
    <w:rsid w:val="00F81548"/>
    <w:rsid w:val="00F846A6"/>
    <w:rsid w:val="00F97033"/>
    <w:rsid w:val="00FB467C"/>
    <w:rsid w:val="00FD069E"/>
    <w:rsid w:val="00FD4BB6"/>
    <w:rsid w:val="00FE311E"/>
    <w:rsid w:val="00FF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91DA6D3-9A1E-46CB-88AB-6F243D6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7653D6"/>
    <w:pPr>
      <w:keepNext/>
      <w:widowControl w:val="0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C0C0C0"/>
      <w:spacing w:before="60" w:after="12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53D6"/>
    <w:pPr>
      <w:keepNext/>
      <w:tabs>
        <w:tab w:val="left" w:pos="990"/>
      </w:tabs>
      <w:spacing w:before="120" w:after="12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7653D6"/>
    <w:rPr>
      <w:rFonts w:ascii="Arial" w:eastAsia="Times New Roman" w:hAnsi="Arial" w:cs="Times New Roman"/>
      <w:b/>
      <w:sz w:val="32"/>
      <w:szCs w:val="20"/>
      <w:shd w:val="clear" w:color="auto" w:fill="C0C0C0"/>
    </w:rPr>
  </w:style>
  <w:style w:type="character" w:customStyle="1" w:styleId="Heading4Char">
    <w:name w:val="Heading 4 Char"/>
    <w:basedOn w:val="DefaultParagraphFont"/>
    <w:link w:val="Heading4"/>
    <w:uiPriority w:val="99"/>
    <w:rsid w:val="007653D6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1"/>
    <w:uiPriority w:val="99"/>
    <w:rsid w:val="007653D6"/>
    <w:pPr>
      <w:widowControl w:val="0"/>
      <w:spacing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7653D6"/>
  </w:style>
  <w:style w:type="paragraph" w:styleId="ListBullet2">
    <w:name w:val="List Bullet 2"/>
    <w:basedOn w:val="BodyText"/>
    <w:uiPriority w:val="99"/>
    <w:rsid w:val="007653D6"/>
    <w:pPr>
      <w:numPr>
        <w:numId w:val="1"/>
      </w:numPr>
      <w:tabs>
        <w:tab w:val="clear" w:pos="660"/>
        <w:tab w:val="num" w:pos="360"/>
      </w:tabs>
      <w:ind w:left="0" w:firstLine="0"/>
    </w:pPr>
  </w:style>
  <w:style w:type="paragraph" w:styleId="BodyText3">
    <w:name w:val="Body Text 3"/>
    <w:basedOn w:val="Normal"/>
    <w:link w:val="BodyText3Char"/>
    <w:uiPriority w:val="99"/>
    <w:semiHidden/>
    <w:rsid w:val="007653D6"/>
    <w:pPr>
      <w:spacing w:after="120" w:line="240" w:lineRule="auto"/>
    </w:pPr>
    <w:rPr>
      <w:rFonts w:ascii="Arial" w:eastAsia="Times New Roman" w:hAnsi="Arial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653D6"/>
    <w:rPr>
      <w:rFonts w:ascii="Arial" w:eastAsia="Times New Roman" w:hAnsi="Arial" w:cs="Times New Roman"/>
      <w:sz w:val="16"/>
      <w:szCs w:val="16"/>
    </w:rPr>
  </w:style>
  <w:style w:type="character" w:customStyle="1" w:styleId="BodyTextChar1">
    <w:name w:val="Body Text Char1"/>
    <w:link w:val="BodyText"/>
    <w:uiPriority w:val="99"/>
    <w:locked/>
    <w:rsid w:val="007653D6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Williams</dc:creator>
  <cp:keywords/>
  <dc:description/>
  <cp:lastModifiedBy>Patricia Smith</cp:lastModifiedBy>
  <cp:revision>2</cp:revision>
  <dcterms:created xsi:type="dcterms:W3CDTF">2018-01-04T01:03:00Z</dcterms:created>
  <dcterms:modified xsi:type="dcterms:W3CDTF">2018-01-04T01:03:00Z</dcterms:modified>
</cp:coreProperties>
</file>