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CF" w:rsidRPr="00282FE2" w:rsidRDefault="002B65CF" w:rsidP="002B65CF">
      <w:pPr>
        <w:pStyle w:val="Heading2"/>
        <w:shd w:val="clear" w:color="auto" w:fill="auto"/>
        <w:jc w:val="both"/>
        <w:rPr>
          <w:rFonts w:asciiTheme="minorHAnsi" w:hAnsiTheme="minorHAnsi" w:cs="Arial"/>
          <w:szCs w:val="32"/>
        </w:rPr>
      </w:pPr>
      <w:bookmarkStart w:id="0" w:name="_Toc183431038"/>
      <w:bookmarkStart w:id="1" w:name="_Toc188520574"/>
      <w:bookmarkStart w:id="2" w:name="_Toc278799600"/>
      <w:bookmarkStart w:id="3" w:name="_Toc315644913"/>
      <w:bookmarkStart w:id="4" w:name="_Toc414197014"/>
      <w:r w:rsidRPr="00282FE2">
        <w:rPr>
          <w:rFonts w:asciiTheme="minorHAnsi" w:hAnsiTheme="minorHAnsi" w:cs="Arial"/>
          <w:szCs w:val="32"/>
        </w:rPr>
        <w:t>GP2:  PURPOSE, PHILOSOPHY AND OUTCOMES</w:t>
      </w:r>
      <w:bookmarkEnd w:id="0"/>
      <w:bookmarkEnd w:id="1"/>
      <w:bookmarkEnd w:id="2"/>
      <w:bookmarkEnd w:id="3"/>
      <w:bookmarkEnd w:id="4"/>
    </w:p>
    <w:p w:rsidR="002B65CF" w:rsidRPr="006C7CFA" w:rsidRDefault="002B65CF" w:rsidP="002B65CF">
      <w:pPr>
        <w:jc w:val="both"/>
        <w:rPr>
          <w:rFonts w:cs="Arial"/>
          <w:color w:val="000000"/>
        </w:rPr>
      </w:pPr>
    </w:p>
    <w:p w:rsidR="002B65CF" w:rsidRPr="006C7CFA" w:rsidRDefault="002B65CF" w:rsidP="002B65CF">
      <w:pPr>
        <w:pStyle w:val="Heading5"/>
        <w:jc w:val="both"/>
        <w:rPr>
          <w:rFonts w:asciiTheme="minorHAnsi" w:hAnsiTheme="minorHAnsi" w:cs="Arial"/>
          <w:color w:val="000000"/>
          <w:sz w:val="24"/>
          <w:szCs w:val="24"/>
        </w:rPr>
      </w:pPr>
      <w:bookmarkStart w:id="5" w:name="_Toc103070997"/>
      <w:bookmarkStart w:id="6" w:name="_Toc103072823"/>
      <w:r w:rsidRPr="006C7CFA">
        <w:rPr>
          <w:rFonts w:asciiTheme="minorHAnsi" w:hAnsiTheme="minorHAnsi" w:cs="Arial"/>
          <w:color w:val="000000"/>
          <w:sz w:val="24"/>
          <w:szCs w:val="24"/>
        </w:rPr>
        <w:t>Statement of Purpose</w:t>
      </w:r>
      <w:bookmarkEnd w:id="5"/>
      <w:bookmarkEnd w:id="6"/>
    </w:p>
    <w:p w:rsidR="002B65CF" w:rsidRPr="006C7CFA" w:rsidRDefault="002B65CF" w:rsidP="002B65CF">
      <w:pPr>
        <w:jc w:val="both"/>
        <w:rPr>
          <w:rFonts w:cs="Arial"/>
          <w:color w:val="000000"/>
        </w:rPr>
      </w:pPr>
    </w:p>
    <w:p w:rsidR="002B65CF" w:rsidRPr="006C7CFA" w:rsidRDefault="002B65CF" w:rsidP="002B65CF">
      <w:pPr>
        <w:jc w:val="both"/>
        <w:rPr>
          <w:rFonts w:cs="Arial"/>
          <w:color w:val="000000"/>
        </w:rPr>
      </w:pPr>
      <w:r w:rsidRPr="006C7CFA">
        <w:rPr>
          <w:rFonts w:cs="Arial"/>
          <w:color w:val="000000"/>
        </w:rPr>
        <w:t xml:space="preserve">The purpose of </w:t>
      </w:r>
      <w:r>
        <w:rPr>
          <w:rFonts w:cs="Arial"/>
          <w:color w:val="000000"/>
        </w:rPr>
        <w:t>Community Gateway</w:t>
      </w:r>
      <w:r w:rsidRPr="006C7CFA">
        <w:rPr>
          <w:rFonts w:cs="Arial"/>
          <w:color w:val="000000"/>
        </w:rPr>
        <w:t xml:space="preserve"> is to maintain frail aged people and people with disabilities in their own homes, and provide support to carers of these people.</w:t>
      </w:r>
    </w:p>
    <w:p w:rsidR="002B65CF" w:rsidRPr="006C7CFA" w:rsidRDefault="002B65CF" w:rsidP="002B65CF">
      <w:pPr>
        <w:pStyle w:val="Heading5"/>
        <w:jc w:val="both"/>
        <w:rPr>
          <w:rFonts w:asciiTheme="minorHAnsi" w:hAnsiTheme="minorHAnsi" w:cs="Arial"/>
          <w:color w:val="000000"/>
          <w:sz w:val="24"/>
          <w:szCs w:val="24"/>
        </w:rPr>
      </w:pPr>
      <w:bookmarkStart w:id="7" w:name="_Toc103070998"/>
      <w:bookmarkStart w:id="8" w:name="_Toc103072824"/>
      <w:r w:rsidRPr="006C7CFA">
        <w:rPr>
          <w:rFonts w:asciiTheme="minorHAnsi" w:hAnsiTheme="minorHAnsi" w:cs="Arial"/>
          <w:color w:val="000000"/>
          <w:sz w:val="24"/>
          <w:szCs w:val="24"/>
        </w:rPr>
        <w:t>Philosophy</w:t>
      </w:r>
      <w:bookmarkEnd w:id="7"/>
      <w:bookmarkEnd w:id="8"/>
    </w:p>
    <w:p w:rsidR="002B65CF" w:rsidRPr="006C7CFA" w:rsidRDefault="002B65CF" w:rsidP="002B65CF">
      <w:pPr>
        <w:jc w:val="both"/>
        <w:rPr>
          <w:rFonts w:cs="Arial"/>
          <w:color w:val="000000"/>
        </w:rPr>
      </w:pPr>
    </w:p>
    <w:p w:rsidR="002B65CF" w:rsidRPr="006C7CFA" w:rsidRDefault="002B65CF" w:rsidP="002B65C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Community Gateway</w:t>
      </w:r>
      <w:r w:rsidRPr="006C7CFA">
        <w:rPr>
          <w:rFonts w:cs="Arial"/>
          <w:color w:val="000000"/>
        </w:rPr>
        <w:t xml:space="preserve"> believes in:</w:t>
      </w:r>
    </w:p>
    <w:p w:rsidR="002B65CF" w:rsidRPr="006C7CFA" w:rsidRDefault="002B65CF" w:rsidP="002B65CF">
      <w:pPr>
        <w:ind w:left="720"/>
        <w:jc w:val="both"/>
        <w:rPr>
          <w:rFonts w:cs="Arial"/>
          <w:color w:val="000000"/>
        </w:rPr>
      </w:pPr>
    </w:p>
    <w:p w:rsidR="002B65CF" w:rsidRPr="006C7CFA" w:rsidRDefault="002B65CF" w:rsidP="002B65CF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The right of people to make choices in their own lives</w:t>
      </w:r>
    </w:p>
    <w:p w:rsidR="002B65CF" w:rsidRPr="006C7CFA" w:rsidRDefault="002B65CF" w:rsidP="002B65CF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The right of people to dignity, respect, privacy and confidentiality</w:t>
      </w:r>
    </w:p>
    <w:p w:rsidR="002B65CF" w:rsidRPr="006C7CFA" w:rsidRDefault="002B65CF" w:rsidP="002B65CF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The right of people to be valued as individuals</w:t>
      </w:r>
    </w:p>
    <w:p w:rsidR="002B65CF" w:rsidRPr="006C7CFA" w:rsidRDefault="002B65CF" w:rsidP="002B65CF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The right of people to access services on a non-discriminatory basis</w:t>
      </w:r>
    </w:p>
    <w:p w:rsidR="002B65CF" w:rsidRPr="006C7CFA" w:rsidRDefault="002B65CF" w:rsidP="002B65CF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The right of the community to accountable and responsive services.</w:t>
      </w:r>
    </w:p>
    <w:p w:rsidR="002B65CF" w:rsidRPr="006C7CFA" w:rsidRDefault="002B65CF" w:rsidP="002B65CF">
      <w:pPr>
        <w:pStyle w:val="Heading5"/>
        <w:jc w:val="both"/>
        <w:rPr>
          <w:rFonts w:asciiTheme="minorHAnsi" w:hAnsiTheme="minorHAnsi" w:cs="Arial"/>
          <w:color w:val="000000"/>
          <w:sz w:val="24"/>
          <w:szCs w:val="24"/>
        </w:rPr>
      </w:pPr>
      <w:bookmarkStart w:id="9" w:name="_Toc103070999"/>
      <w:bookmarkStart w:id="10" w:name="_Toc103072825"/>
      <w:r w:rsidRPr="006C7CFA">
        <w:rPr>
          <w:rFonts w:asciiTheme="minorHAnsi" w:hAnsiTheme="minorHAnsi" w:cs="Arial"/>
          <w:color w:val="000000"/>
          <w:sz w:val="24"/>
          <w:szCs w:val="24"/>
        </w:rPr>
        <w:t>Outcomes</w:t>
      </w:r>
      <w:bookmarkEnd w:id="9"/>
      <w:bookmarkEnd w:id="10"/>
    </w:p>
    <w:p w:rsidR="002B65CF" w:rsidRPr="006C7CFA" w:rsidRDefault="002B65CF" w:rsidP="002B65CF">
      <w:pPr>
        <w:jc w:val="both"/>
        <w:rPr>
          <w:rFonts w:cs="Arial"/>
          <w:color w:val="000000"/>
        </w:rPr>
      </w:pPr>
    </w:p>
    <w:p w:rsidR="002B65CF" w:rsidRPr="006C7CFA" w:rsidRDefault="002B65CF" w:rsidP="002B65CF">
      <w:pPr>
        <w:jc w:val="both"/>
        <w:rPr>
          <w:rFonts w:cs="Arial"/>
          <w:color w:val="000000"/>
        </w:rPr>
      </w:pPr>
      <w:r w:rsidRPr="006C7CFA">
        <w:rPr>
          <w:rFonts w:cs="Arial"/>
          <w:color w:val="000000"/>
        </w:rPr>
        <w:t xml:space="preserve">The outcomes pursued by </w:t>
      </w:r>
      <w:r>
        <w:rPr>
          <w:rFonts w:cs="Arial"/>
          <w:color w:val="000000"/>
        </w:rPr>
        <w:t>Community Gateway</w:t>
      </w:r>
      <w:r w:rsidRPr="006C7CFA">
        <w:rPr>
          <w:rFonts w:cs="Arial"/>
          <w:color w:val="000000"/>
        </w:rPr>
        <w:t xml:space="preserve"> are:</w:t>
      </w:r>
    </w:p>
    <w:p w:rsidR="002B65CF" w:rsidRPr="006C7CFA" w:rsidRDefault="002B65CF" w:rsidP="002B65CF">
      <w:pPr>
        <w:ind w:left="720"/>
        <w:jc w:val="both"/>
        <w:rPr>
          <w:rFonts w:cs="Arial"/>
          <w:color w:val="000000"/>
        </w:rPr>
      </w:pPr>
    </w:p>
    <w:p w:rsidR="002B65CF" w:rsidRPr="006C7CFA" w:rsidRDefault="002B65CF" w:rsidP="002B65CF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That people who are frail aged or have disabilities can remain in their own home</w:t>
      </w:r>
    </w:p>
    <w:p w:rsidR="002B65CF" w:rsidRPr="006C7CFA" w:rsidRDefault="002B65CF" w:rsidP="002B65CF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That family or other primary caregivers are supported in their role</w:t>
      </w:r>
    </w:p>
    <w:p w:rsidR="002B65CF" w:rsidRPr="006C7CFA" w:rsidRDefault="002B65CF" w:rsidP="002B65CF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That the agency operates in an effective, efficient and accountable manner.</w:t>
      </w:r>
    </w:p>
    <w:p w:rsidR="002B65CF" w:rsidRPr="006C7CFA" w:rsidRDefault="002B65CF" w:rsidP="002B65CF">
      <w:pPr>
        <w:pStyle w:val="Heading5"/>
        <w:jc w:val="both"/>
        <w:rPr>
          <w:rFonts w:asciiTheme="minorHAnsi" w:hAnsiTheme="minorHAnsi" w:cs="Arial"/>
          <w:color w:val="000000"/>
          <w:sz w:val="24"/>
          <w:szCs w:val="24"/>
        </w:rPr>
      </w:pPr>
      <w:bookmarkStart w:id="11" w:name="_Toc103071000"/>
      <w:bookmarkStart w:id="12" w:name="_Toc103072826"/>
      <w:r w:rsidRPr="006C7CFA">
        <w:rPr>
          <w:rFonts w:asciiTheme="minorHAnsi" w:hAnsiTheme="minorHAnsi" w:cs="Arial"/>
          <w:color w:val="000000"/>
          <w:sz w:val="24"/>
          <w:szCs w:val="24"/>
        </w:rPr>
        <w:t>Target Group</w:t>
      </w:r>
      <w:bookmarkEnd w:id="11"/>
      <w:bookmarkEnd w:id="12"/>
    </w:p>
    <w:p w:rsidR="002B65CF" w:rsidRPr="006C7CFA" w:rsidRDefault="002B65CF" w:rsidP="002B65CF">
      <w:pPr>
        <w:jc w:val="both"/>
        <w:rPr>
          <w:rFonts w:cs="Arial"/>
          <w:color w:val="000000"/>
        </w:rPr>
      </w:pPr>
    </w:p>
    <w:p w:rsidR="002B65CF" w:rsidRPr="006C7CFA" w:rsidRDefault="002B65CF" w:rsidP="002B65CF">
      <w:pPr>
        <w:ind w:left="720"/>
        <w:jc w:val="both"/>
        <w:rPr>
          <w:rFonts w:cs="Arial"/>
          <w:color w:val="000000"/>
        </w:rPr>
      </w:pPr>
      <w:r w:rsidRPr="006C7CFA">
        <w:rPr>
          <w:rFonts w:cs="Arial"/>
          <w:color w:val="000000"/>
        </w:rPr>
        <w:t xml:space="preserve">The target group of </w:t>
      </w:r>
      <w:r>
        <w:rPr>
          <w:rFonts w:cs="Arial"/>
          <w:color w:val="000000"/>
        </w:rPr>
        <w:t>Community Gateway</w:t>
      </w:r>
      <w:r w:rsidRPr="006C7CFA">
        <w:rPr>
          <w:rFonts w:cs="Arial"/>
          <w:color w:val="000000"/>
        </w:rPr>
        <w:t xml:space="preserve"> is people, who are frail aged and younger people with disabilities and complex care needs, and their </w:t>
      </w:r>
      <w:proofErr w:type="spellStart"/>
      <w:r w:rsidRPr="006C7CFA">
        <w:rPr>
          <w:rFonts w:cs="Arial"/>
          <w:color w:val="000000"/>
        </w:rPr>
        <w:t>carers</w:t>
      </w:r>
      <w:proofErr w:type="spellEnd"/>
      <w:r w:rsidRPr="006C7CFA">
        <w:rPr>
          <w:rFonts w:cs="Arial"/>
          <w:color w:val="000000"/>
        </w:rPr>
        <w:t>.</w:t>
      </w:r>
    </w:p>
    <w:p w:rsidR="002B65CF" w:rsidRPr="006C7CFA" w:rsidRDefault="002B65CF" w:rsidP="002B65CF">
      <w:pPr>
        <w:tabs>
          <w:tab w:val="left" w:pos="1140"/>
        </w:tabs>
        <w:jc w:val="both"/>
        <w:rPr>
          <w:rFonts w:cs="Arial"/>
          <w:color w:val="000000"/>
        </w:rPr>
      </w:pPr>
    </w:p>
    <w:p w:rsidR="002B65CF" w:rsidRPr="006C7CFA" w:rsidRDefault="002B65CF" w:rsidP="002B65CF">
      <w:pPr>
        <w:pStyle w:val="Heading4"/>
        <w:jc w:val="both"/>
        <w:rPr>
          <w:rFonts w:asciiTheme="minorHAnsi" w:hAnsiTheme="minorHAnsi" w:cs="Arial"/>
          <w:szCs w:val="24"/>
        </w:rPr>
      </w:pPr>
      <w:r w:rsidRPr="006C7CFA">
        <w:rPr>
          <w:rFonts w:asciiTheme="minorHAnsi" w:hAnsiTheme="minorHAnsi" w:cs="Arial"/>
          <w:szCs w:val="24"/>
        </w:rPr>
        <w:t>MEASUREMENT</w:t>
      </w:r>
    </w:p>
    <w:p w:rsidR="002B65CF" w:rsidRPr="006C7CFA" w:rsidRDefault="002B65CF" w:rsidP="002B65CF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Client</w:t>
      </w:r>
      <w:r w:rsidRPr="006C7CFA">
        <w:rPr>
          <w:rFonts w:asciiTheme="minorHAnsi" w:hAnsiTheme="minorHAnsi" w:cs="Arial"/>
          <w:szCs w:val="24"/>
        </w:rPr>
        <w:t xml:space="preserve"> files</w:t>
      </w:r>
    </w:p>
    <w:p w:rsidR="002B65CF" w:rsidRPr="006C7CFA" w:rsidRDefault="002B65CF" w:rsidP="002B65CF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szCs w:val="24"/>
        </w:rPr>
      </w:pPr>
      <w:r w:rsidRPr="006C7CFA">
        <w:rPr>
          <w:rFonts w:asciiTheme="minorHAnsi" w:hAnsiTheme="minorHAnsi" w:cs="Arial"/>
          <w:szCs w:val="24"/>
        </w:rPr>
        <w:t xml:space="preserve">Analysis of </w:t>
      </w:r>
      <w:r>
        <w:rPr>
          <w:rFonts w:asciiTheme="minorHAnsi" w:hAnsiTheme="minorHAnsi" w:cs="Arial"/>
          <w:szCs w:val="24"/>
        </w:rPr>
        <w:t>client</w:t>
      </w:r>
      <w:r w:rsidRPr="006C7CFA">
        <w:rPr>
          <w:rFonts w:asciiTheme="minorHAnsi" w:hAnsiTheme="minorHAnsi" w:cs="Arial"/>
          <w:szCs w:val="24"/>
        </w:rPr>
        <w:t xml:space="preserve"> and carer surveys</w:t>
      </w:r>
    </w:p>
    <w:p w:rsidR="002B65CF" w:rsidRPr="006C7CFA" w:rsidRDefault="002B65CF" w:rsidP="002B65CF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szCs w:val="24"/>
        </w:rPr>
      </w:pPr>
      <w:r w:rsidRPr="006C7CFA">
        <w:rPr>
          <w:rFonts w:asciiTheme="minorHAnsi" w:hAnsiTheme="minorHAnsi" w:cs="Arial"/>
          <w:szCs w:val="24"/>
        </w:rPr>
        <w:t>Financial audit</w:t>
      </w:r>
    </w:p>
    <w:p w:rsidR="002B65CF" w:rsidRPr="006C7CFA" w:rsidRDefault="002B65CF" w:rsidP="002B65CF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szCs w:val="24"/>
        </w:rPr>
      </w:pPr>
      <w:r w:rsidRPr="006C7CFA">
        <w:rPr>
          <w:rFonts w:asciiTheme="minorHAnsi" w:hAnsiTheme="minorHAnsi" w:cs="Arial"/>
          <w:szCs w:val="24"/>
        </w:rPr>
        <w:t>Referral and service information</w:t>
      </w:r>
    </w:p>
    <w:p w:rsidR="002B65CF" w:rsidRPr="006C7CFA" w:rsidRDefault="002B65CF" w:rsidP="002B65CF">
      <w:pPr>
        <w:pStyle w:val="Heading4"/>
        <w:jc w:val="both"/>
        <w:rPr>
          <w:rFonts w:asciiTheme="minorHAnsi" w:hAnsiTheme="minorHAnsi" w:cs="Arial"/>
          <w:color w:val="FF0000"/>
          <w:szCs w:val="24"/>
        </w:rPr>
      </w:pPr>
    </w:p>
    <w:p w:rsidR="002B65CF" w:rsidRPr="006C7CFA" w:rsidRDefault="002B65CF" w:rsidP="002B65CF">
      <w:pPr>
        <w:pStyle w:val="Heading4"/>
        <w:jc w:val="both"/>
        <w:rPr>
          <w:rFonts w:asciiTheme="minorHAnsi" w:hAnsiTheme="minorHAnsi" w:cs="Arial"/>
          <w:szCs w:val="24"/>
        </w:rPr>
      </w:pPr>
      <w:r w:rsidRPr="006C7CFA">
        <w:rPr>
          <w:rFonts w:asciiTheme="minorHAnsi" w:hAnsiTheme="minorHAnsi" w:cs="Arial"/>
          <w:szCs w:val="24"/>
        </w:rPr>
        <w:t>RESPONSIBILITIES</w:t>
      </w:r>
    </w:p>
    <w:p w:rsidR="002B65CF" w:rsidRPr="006C7CFA" w:rsidRDefault="002B65CF" w:rsidP="002B65CF">
      <w:pPr>
        <w:pStyle w:val="ListBullet2"/>
        <w:numPr>
          <w:ilvl w:val="0"/>
          <w:numId w:val="2"/>
        </w:numPr>
        <w:tabs>
          <w:tab w:val="clear" w:pos="1004"/>
          <w:tab w:val="num" w:pos="675"/>
        </w:tabs>
        <w:ind w:hanging="704"/>
        <w:jc w:val="both"/>
        <w:rPr>
          <w:rFonts w:asciiTheme="minorHAnsi" w:hAnsiTheme="minorHAnsi" w:cs="Arial"/>
          <w:szCs w:val="24"/>
        </w:rPr>
      </w:pPr>
      <w:r w:rsidRPr="006C7CFA">
        <w:rPr>
          <w:rFonts w:asciiTheme="minorHAnsi" w:hAnsiTheme="minorHAnsi" w:cs="Arial"/>
          <w:szCs w:val="24"/>
        </w:rPr>
        <w:t>Board of Management members</w:t>
      </w:r>
    </w:p>
    <w:p w:rsidR="002B65CF" w:rsidRPr="006C7CFA" w:rsidRDefault="002B65CF" w:rsidP="002B65CF">
      <w:pPr>
        <w:pStyle w:val="ListBullet2"/>
        <w:numPr>
          <w:ilvl w:val="0"/>
          <w:numId w:val="2"/>
        </w:numPr>
        <w:tabs>
          <w:tab w:val="clear" w:pos="1004"/>
          <w:tab w:val="num" w:pos="675"/>
        </w:tabs>
        <w:ind w:hanging="704"/>
        <w:jc w:val="both"/>
        <w:rPr>
          <w:rFonts w:asciiTheme="minorHAnsi" w:hAnsiTheme="minorHAnsi" w:cs="Arial"/>
          <w:szCs w:val="24"/>
        </w:rPr>
      </w:pPr>
      <w:r w:rsidRPr="006C7CFA">
        <w:rPr>
          <w:rFonts w:asciiTheme="minorHAnsi" w:hAnsiTheme="minorHAnsi" w:cs="Arial"/>
          <w:szCs w:val="24"/>
        </w:rPr>
        <w:t>Chief Executive Officer</w:t>
      </w:r>
    </w:p>
    <w:p w:rsidR="002B65CF" w:rsidRPr="006C7CFA" w:rsidRDefault="002B65CF" w:rsidP="002B65CF">
      <w:pPr>
        <w:pStyle w:val="ListBullet2"/>
        <w:numPr>
          <w:ilvl w:val="0"/>
          <w:numId w:val="2"/>
        </w:numPr>
        <w:tabs>
          <w:tab w:val="clear" w:pos="1004"/>
          <w:tab w:val="num" w:pos="675"/>
        </w:tabs>
        <w:ind w:hanging="704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Directors</w:t>
      </w:r>
    </w:p>
    <w:p w:rsidR="002B65CF" w:rsidRPr="006C7CFA" w:rsidRDefault="002B65CF" w:rsidP="002B65CF">
      <w:pPr>
        <w:pStyle w:val="ListBullet2"/>
        <w:numPr>
          <w:ilvl w:val="0"/>
          <w:numId w:val="2"/>
        </w:numPr>
        <w:tabs>
          <w:tab w:val="clear" w:pos="1004"/>
          <w:tab w:val="num" w:pos="675"/>
        </w:tabs>
        <w:ind w:hanging="704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Operational staff</w:t>
      </w:r>
    </w:p>
    <w:p w:rsidR="002B65CF" w:rsidRPr="006C7CFA" w:rsidRDefault="002B65CF" w:rsidP="002B65CF">
      <w:pPr>
        <w:pStyle w:val="ListBullet2"/>
        <w:numPr>
          <w:ilvl w:val="0"/>
          <w:numId w:val="2"/>
        </w:numPr>
        <w:tabs>
          <w:tab w:val="clear" w:pos="1004"/>
          <w:tab w:val="num" w:pos="675"/>
        </w:tabs>
        <w:ind w:hanging="704"/>
        <w:jc w:val="both"/>
        <w:rPr>
          <w:rFonts w:asciiTheme="minorHAnsi" w:hAnsiTheme="minorHAnsi" w:cs="Arial"/>
          <w:szCs w:val="24"/>
        </w:rPr>
      </w:pPr>
      <w:r w:rsidRPr="006C7CFA">
        <w:rPr>
          <w:rFonts w:asciiTheme="minorHAnsi" w:hAnsiTheme="minorHAnsi" w:cs="Arial"/>
          <w:szCs w:val="24"/>
        </w:rPr>
        <w:t>Administration staff</w:t>
      </w:r>
    </w:p>
    <w:p w:rsidR="002B65CF" w:rsidRPr="006C7CFA" w:rsidRDefault="002B65CF" w:rsidP="002B65CF">
      <w:pPr>
        <w:pStyle w:val="ListBullet2"/>
        <w:numPr>
          <w:ilvl w:val="0"/>
          <w:numId w:val="2"/>
        </w:numPr>
        <w:tabs>
          <w:tab w:val="clear" w:pos="1004"/>
          <w:tab w:val="num" w:pos="675"/>
        </w:tabs>
        <w:ind w:hanging="704"/>
        <w:jc w:val="both"/>
        <w:rPr>
          <w:rFonts w:asciiTheme="minorHAnsi" w:hAnsiTheme="minorHAnsi" w:cs="Arial"/>
          <w:szCs w:val="24"/>
        </w:rPr>
      </w:pPr>
      <w:r w:rsidRPr="006C7CFA">
        <w:rPr>
          <w:rFonts w:asciiTheme="minorHAnsi" w:hAnsiTheme="minorHAnsi" w:cs="Arial"/>
          <w:szCs w:val="24"/>
        </w:rPr>
        <w:t>Volunteers</w:t>
      </w:r>
    </w:p>
    <w:p w:rsidR="002B65CF" w:rsidRPr="006C7CFA" w:rsidRDefault="002B65CF" w:rsidP="002B65CF">
      <w:pPr>
        <w:pStyle w:val="Heading8"/>
        <w:rPr>
          <w:rFonts w:asciiTheme="minorHAnsi" w:hAnsiTheme="minorHAnsi" w:cs="Arial"/>
          <w:b/>
        </w:rPr>
      </w:pPr>
      <w:r w:rsidRPr="006C7CFA">
        <w:rPr>
          <w:rFonts w:asciiTheme="minorHAnsi" w:hAnsiTheme="minorHAnsi" w:cs="Arial"/>
          <w:b/>
          <w:i w:val="0"/>
        </w:rPr>
        <w:t>STANDARDS</w:t>
      </w:r>
      <w:r w:rsidRPr="006C7CFA">
        <w:rPr>
          <w:rFonts w:asciiTheme="minorHAnsi" w:hAnsiTheme="minorHAnsi" w:cs="Arial"/>
          <w:b/>
        </w:rPr>
        <w:t xml:space="preserve"> </w:t>
      </w:r>
      <w:r w:rsidRPr="006C7CFA">
        <w:rPr>
          <w:rFonts w:asciiTheme="minorHAnsi" w:hAnsiTheme="minorHAnsi" w:cs="Arial"/>
          <w:b/>
          <w:i w:val="0"/>
        </w:rPr>
        <w:t>and</w:t>
      </w:r>
      <w:r w:rsidRPr="006C7CFA">
        <w:rPr>
          <w:rFonts w:asciiTheme="minorHAnsi" w:hAnsiTheme="minorHAnsi" w:cs="Arial"/>
          <w:b/>
        </w:rPr>
        <w:t xml:space="preserve"> </w:t>
      </w:r>
      <w:r w:rsidRPr="006C7CFA">
        <w:rPr>
          <w:rFonts w:asciiTheme="minorHAnsi" w:hAnsiTheme="minorHAnsi" w:cs="Arial"/>
          <w:b/>
          <w:i w:val="0"/>
        </w:rPr>
        <w:t>COMPLIANCE</w:t>
      </w:r>
    </w:p>
    <w:p w:rsidR="002B65CF" w:rsidRPr="006C7CFA" w:rsidRDefault="002B65CF" w:rsidP="002B65CF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cs="Arial"/>
          <w:i/>
          <w:sz w:val="20"/>
          <w:szCs w:val="20"/>
        </w:rPr>
      </w:pPr>
    </w:p>
    <w:p w:rsidR="002B65CF" w:rsidRPr="006C7CFA" w:rsidRDefault="002B65CF" w:rsidP="002B65CF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cs="Arial"/>
          <w:i/>
          <w:sz w:val="20"/>
          <w:szCs w:val="20"/>
        </w:rPr>
      </w:pPr>
      <w:r w:rsidRPr="006C7CFA">
        <w:rPr>
          <w:rFonts w:cs="Arial"/>
          <w:i/>
          <w:sz w:val="20"/>
          <w:szCs w:val="20"/>
        </w:rPr>
        <w:t>Community Care Common Standard 1:  Effective Management</w:t>
      </w:r>
    </w:p>
    <w:p w:rsidR="002B65CF" w:rsidRPr="006C7CFA" w:rsidRDefault="002B65CF" w:rsidP="002B65CF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cs="Arial"/>
          <w:i/>
          <w:sz w:val="20"/>
          <w:szCs w:val="20"/>
        </w:rPr>
      </w:pPr>
      <w:r w:rsidRPr="006C7CFA">
        <w:rPr>
          <w:rFonts w:cs="Arial"/>
          <w:i/>
          <w:sz w:val="20"/>
          <w:szCs w:val="20"/>
        </w:rPr>
        <w:t>Community Care Common Standard 2:  Appropriate Access and Service Delivery</w:t>
      </w:r>
    </w:p>
    <w:p w:rsidR="002B65CF" w:rsidRPr="006C7CFA" w:rsidRDefault="002B65CF" w:rsidP="002B65CF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cs="Arial"/>
          <w:i/>
          <w:sz w:val="20"/>
          <w:szCs w:val="20"/>
        </w:rPr>
      </w:pPr>
      <w:r w:rsidRPr="006C7CFA">
        <w:rPr>
          <w:rFonts w:cs="Arial"/>
          <w:i/>
          <w:sz w:val="20"/>
          <w:szCs w:val="20"/>
        </w:rPr>
        <w:t xml:space="preserve">Community Care Common Standard 3:  </w:t>
      </w:r>
      <w:r>
        <w:rPr>
          <w:rFonts w:cs="Arial"/>
          <w:i/>
          <w:sz w:val="20"/>
          <w:szCs w:val="20"/>
        </w:rPr>
        <w:t>Client</w:t>
      </w:r>
      <w:r w:rsidRPr="006C7CFA">
        <w:rPr>
          <w:rFonts w:cs="Arial"/>
          <w:i/>
          <w:sz w:val="20"/>
          <w:szCs w:val="20"/>
        </w:rPr>
        <w:t xml:space="preserve"> Rights and Responsibilities</w:t>
      </w:r>
    </w:p>
    <w:p w:rsidR="002B65CF" w:rsidRPr="006C7CFA" w:rsidRDefault="002B65CF" w:rsidP="002B65CF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cs="Arial"/>
          <w:i/>
          <w:sz w:val="20"/>
          <w:szCs w:val="20"/>
        </w:rPr>
      </w:pPr>
    </w:p>
    <w:p w:rsidR="002B65CF" w:rsidRPr="006C7CFA" w:rsidRDefault="002B65CF" w:rsidP="002B65CF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Disability Service Standard 5: Service Access</w:t>
      </w:r>
    </w:p>
    <w:p w:rsidR="002B65CF" w:rsidRPr="006C7CFA" w:rsidRDefault="002B65CF" w:rsidP="002B65CF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Disability Service Standard 3: Individual Outcomes</w:t>
      </w:r>
    </w:p>
    <w:p w:rsidR="002B65CF" w:rsidRPr="006C7CFA" w:rsidRDefault="002B65CF" w:rsidP="002B65CF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Disability Service Standard 2: Participation and Inclusion</w:t>
      </w:r>
    </w:p>
    <w:p w:rsidR="002B65CF" w:rsidRPr="006C7CFA" w:rsidRDefault="002B65CF" w:rsidP="002B65CF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Disability Service Standard 1: Rights</w:t>
      </w:r>
    </w:p>
    <w:p w:rsidR="002B65CF" w:rsidRPr="006C7CFA" w:rsidRDefault="002B65CF" w:rsidP="002B65CF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cs="Arial"/>
          <w:b/>
          <w:i/>
          <w:spacing w:val="-3"/>
        </w:rPr>
      </w:pPr>
      <w:r>
        <w:rPr>
          <w:rFonts w:cs="Arial"/>
          <w:i/>
          <w:sz w:val="20"/>
          <w:szCs w:val="20"/>
        </w:rPr>
        <w:t>Disability Service Standard 6: Service Management</w:t>
      </w:r>
    </w:p>
    <w:p w:rsidR="002B65CF" w:rsidRPr="006C7CFA" w:rsidRDefault="002B65CF" w:rsidP="002B65CF">
      <w:pPr>
        <w:jc w:val="both"/>
        <w:rPr>
          <w:rFonts w:cs="Arial"/>
        </w:rPr>
      </w:pPr>
    </w:p>
    <w:p w:rsidR="002B65CF" w:rsidRPr="006C7CFA" w:rsidRDefault="002B65CF" w:rsidP="002B65CF">
      <w:pPr>
        <w:rPr>
          <w:rFonts w:cs="Arial"/>
          <w:b/>
        </w:rPr>
      </w:pPr>
      <w:r w:rsidRPr="006C7CFA">
        <w:rPr>
          <w:rFonts w:cs="Arial"/>
          <w:b/>
        </w:rPr>
        <w:t>OTHER RELEVANT POLICIES</w:t>
      </w:r>
    </w:p>
    <w:p w:rsidR="002B65CF" w:rsidRPr="006C7CFA" w:rsidRDefault="002B65CF" w:rsidP="002B65CF">
      <w:pPr>
        <w:rPr>
          <w:rFonts w:cs="Arial"/>
          <w:b/>
        </w:rPr>
      </w:pPr>
    </w:p>
    <w:p w:rsidR="002B65CF" w:rsidRPr="006C7CFA" w:rsidRDefault="002B65CF" w:rsidP="002B65CF">
      <w:pPr>
        <w:rPr>
          <w:rFonts w:cs="Arial"/>
          <w:b/>
        </w:rPr>
      </w:pPr>
      <w:r w:rsidRPr="006C7CFA">
        <w:rPr>
          <w:rFonts w:cs="Arial"/>
          <w:b/>
        </w:rPr>
        <w:t>All policies</w:t>
      </w:r>
      <w:r w:rsidRPr="006C7CFA">
        <w:rPr>
          <w:rFonts w:cs="Arial"/>
          <w:b/>
        </w:rPr>
        <w:br w:type="page"/>
      </w:r>
    </w:p>
    <w:p w:rsidR="00BA0ABE" w:rsidRDefault="00BA0ABE">
      <w:bookmarkStart w:id="13" w:name="_GoBack"/>
      <w:bookmarkEnd w:id="13"/>
    </w:p>
    <w:sectPr w:rsidR="00BA0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08A7DAC"/>
    <w:lvl w:ilvl="0">
      <w:start w:val="1"/>
      <w:numFmt w:val="bullet"/>
      <w:pStyle w:val="ListBullet2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0D5C3813"/>
    <w:multiLevelType w:val="hybridMultilevel"/>
    <w:tmpl w:val="6E308A5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5F"/>
    <w:rsid w:val="002B65CF"/>
    <w:rsid w:val="00402D5F"/>
    <w:rsid w:val="00B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DA6D3-9A1E-46CB-88AB-6F243D64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B65CF"/>
    <w:pPr>
      <w:keepNext/>
      <w:widowControl w:val="0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C0C0C0"/>
      <w:spacing w:before="60" w:after="12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65CF"/>
    <w:pPr>
      <w:keepNext/>
      <w:tabs>
        <w:tab w:val="left" w:pos="990"/>
      </w:tabs>
      <w:spacing w:before="120" w:after="12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65C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65C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B65CF"/>
    <w:rPr>
      <w:rFonts w:ascii="Arial" w:eastAsia="Times New Roman" w:hAnsi="Arial" w:cs="Times New Roman"/>
      <w:b/>
      <w:sz w:val="32"/>
      <w:szCs w:val="20"/>
      <w:shd w:val="clear" w:color="auto" w:fill="C0C0C0"/>
    </w:rPr>
  </w:style>
  <w:style w:type="character" w:customStyle="1" w:styleId="Heading4Char">
    <w:name w:val="Heading 4 Char"/>
    <w:basedOn w:val="DefaultParagraphFont"/>
    <w:link w:val="Heading4"/>
    <w:uiPriority w:val="99"/>
    <w:rsid w:val="002B65CF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2B65CF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rsid w:val="002B65C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Bullet2">
    <w:name w:val="List Bullet 2"/>
    <w:basedOn w:val="BodyText"/>
    <w:uiPriority w:val="99"/>
    <w:rsid w:val="002B65CF"/>
    <w:pPr>
      <w:widowControl w:val="0"/>
      <w:numPr>
        <w:numId w:val="1"/>
      </w:numPr>
      <w:tabs>
        <w:tab w:val="clear" w:pos="660"/>
        <w:tab w:val="num" w:pos="360"/>
      </w:tabs>
      <w:spacing w:line="240" w:lineRule="auto"/>
      <w:ind w:left="0" w:firstLine="0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65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Williams</dc:creator>
  <cp:keywords/>
  <dc:description/>
  <cp:lastModifiedBy>Colin Williams</cp:lastModifiedBy>
  <cp:revision>2</cp:revision>
  <dcterms:created xsi:type="dcterms:W3CDTF">2017-01-10T22:30:00Z</dcterms:created>
  <dcterms:modified xsi:type="dcterms:W3CDTF">2017-01-10T22:30:00Z</dcterms:modified>
</cp:coreProperties>
</file>